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C5" w:rsidRDefault="00AF72C5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C5" w:rsidRDefault="00AF72C5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AA8" w:rsidRDefault="001D7AA8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ПЛАТНИРОВСКОГО СЕЛЬСКОГО ПОСЕЛЕНИЯ</w:t>
      </w:r>
    </w:p>
    <w:p w:rsidR="001D7AA8" w:rsidRDefault="001D7AA8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1D40BC" w:rsidRDefault="001D40BC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A8" w:rsidRPr="001D40BC" w:rsidRDefault="001D40BC" w:rsidP="001D4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BC"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A904D1" w:rsidRPr="001D7AA8" w:rsidRDefault="00DC321E" w:rsidP="00CD4E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1D7AA8" w:rsidRPr="001D7AA8">
        <w:rPr>
          <w:rFonts w:ascii="Times New Roman" w:hAnsi="Times New Roman" w:cs="Times New Roman"/>
          <w:b/>
          <w:sz w:val="32"/>
          <w:szCs w:val="32"/>
        </w:rPr>
        <w:t>РЕШЕНИ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</w:p>
    <w:p w:rsidR="00CD4ED9" w:rsidRPr="00F612B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D9" w:rsidRPr="00F612B2" w:rsidRDefault="00DC321E" w:rsidP="00CD4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_______________</w:t>
      </w:r>
      <w:r w:rsidR="00CD4ED9" w:rsidRPr="00F6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D7AA8" w:rsidRPr="00F612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B59D4" w:rsidRPr="00F612B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№_____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DC321E">
        <w:rPr>
          <w:rFonts w:ascii="Times New Roman" w:hAnsi="Times New Roman" w:cs="Times New Roman"/>
          <w:b/>
          <w:sz w:val="28"/>
          <w:szCs w:val="28"/>
        </w:rPr>
        <w:t>твенного самоуправления» за 2013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27 Федерального Закона Российской Федерации от 6 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 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№1577)</w:t>
      </w:r>
      <w:r w:rsidR="001C1C32">
        <w:rPr>
          <w:rFonts w:ascii="Times New Roman" w:hAnsi="Times New Roman" w:cs="Times New Roman"/>
          <w:sz w:val="28"/>
          <w:szCs w:val="28"/>
        </w:rPr>
        <w:t>, постановлении администрации Платнировского сельского поселения Кореновского района от 11 мая 2010 года №129 «О конкурсе на звание «Лучший орган территориального общественного самоуправления Платнировского сельского поселения Кореновского района»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37700B">
        <w:rPr>
          <w:rFonts w:ascii="Times New Roman" w:hAnsi="Times New Roman" w:cs="Times New Roman"/>
          <w:sz w:val="28"/>
          <w:szCs w:val="28"/>
        </w:rPr>
        <w:t xml:space="preserve"> 11 ноября 2011 года №367)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r w:rsidR="00377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DC321E">
        <w:rPr>
          <w:rFonts w:ascii="Times New Roman" w:hAnsi="Times New Roman" w:cs="Times New Roman"/>
          <w:sz w:val="28"/>
          <w:szCs w:val="28"/>
        </w:rPr>
        <w:t>2</w:t>
      </w:r>
      <w:r w:rsidR="00FC0DC5">
        <w:rPr>
          <w:rFonts w:ascii="Times New Roman" w:hAnsi="Times New Roman" w:cs="Times New Roman"/>
          <w:sz w:val="28"/>
          <w:szCs w:val="28"/>
        </w:rPr>
        <w:t>5 декабря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DC321E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этапа конкурса) – территориального общественного самоуправления №1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промышленности, транспорту, связи, строительству, жилищно-коммунальному хозяйству и предпринимательству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Платнировского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А.Г.Павленко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Платнировского 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Л.Н. </w:t>
      </w:r>
      <w:proofErr w:type="spellStart"/>
      <w:r>
        <w:rPr>
          <w:rFonts w:ascii="Times New Roman" w:hAnsi="Times New Roman"/>
          <w:sz w:val="28"/>
        </w:rPr>
        <w:t>Богославец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AF72C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3155D"/>
    <w:rsid w:val="000347B7"/>
    <w:rsid w:val="001C1C32"/>
    <w:rsid w:val="001D40BC"/>
    <w:rsid w:val="001D4716"/>
    <w:rsid w:val="001D7AA8"/>
    <w:rsid w:val="0037700B"/>
    <w:rsid w:val="00380641"/>
    <w:rsid w:val="00417C26"/>
    <w:rsid w:val="00435C3F"/>
    <w:rsid w:val="005816F2"/>
    <w:rsid w:val="0058378F"/>
    <w:rsid w:val="007F2F40"/>
    <w:rsid w:val="008831D8"/>
    <w:rsid w:val="008D6D21"/>
    <w:rsid w:val="00A515F1"/>
    <w:rsid w:val="00A904D1"/>
    <w:rsid w:val="00AF72C5"/>
    <w:rsid w:val="00BF0156"/>
    <w:rsid w:val="00C010F8"/>
    <w:rsid w:val="00CB59D4"/>
    <w:rsid w:val="00CD2391"/>
    <w:rsid w:val="00CD4ED9"/>
    <w:rsid w:val="00D35960"/>
    <w:rsid w:val="00DC321E"/>
    <w:rsid w:val="00E7298E"/>
    <w:rsid w:val="00F14B4F"/>
    <w:rsid w:val="00F612B2"/>
    <w:rsid w:val="00F830FC"/>
    <w:rsid w:val="00FC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2012-12-26T11:15:00Z</cp:lastPrinted>
  <dcterms:created xsi:type="dcterms:W3CDTF">2010-11-22T12:48:00Z</dcterms:created>
  <dcterms:modified xsi:type="dcterms:W3CDTF">2014-01-24T08:06:00Z</dcterms:modified>
</cp:coreProperties>
</file>