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1F7" w:rsidRPr="009341F7" w:rsidRDefault="009341F7" w:rsidP="009341F7">
      <w:pPr>
        <w:pStyle w:val="a3"/>
        <w:shd w:val="clear" w:color="auto" w:fill="FFFFFF"/>
        <w:spacing w:before="0" w:beforeAutospacing="0" w:after="192" w:afterAutospacing="0"/>
        <w:ind w:firstLine="708"/>
        <w:jc w:val="both"/>
        <w:rPr>
          <w:rFonts w:ascii="Arial" w:hAnsi="Arial" w:cs="Arial"/>
          <w:b/>
          <w:bCs/>
          <w:color w:val="000000"/>
          <w:sz w:val="21"/>
          <w:szCs w:val="21"/>
        </w:rPr>
      </w:pPr>
      <w:r w:rsidRPr="009341F7">
        <w:rPr>
          <w:rFonts w:ascii="Arial" w:hAnsi="Arial" w:cs="Arial"/>
          <w:b/>
          <w:bCs/>
          <w:color w:val="000000"/>
          <w:sz w:val="21"/>
          <w:szCs w:val="21"/>
        </w:rPr>
        <w:t>Прокуратура разъясняет: электронный кошелек причислен к способам получения или дачи взятки</w:t>
      </w:r>
    </w:p>
    <w:p w:rsidR="009341F7" w:rsidRDefault="009341F7" w:rsidP="009341F7">
      <w:pPr>
        <w:pStyle w:val="a3"/>
        <w:shd w:val="clear" w:color="auto" w:fill="FFFFFF"/>
        <w:spacing w:before="0" w:beforeAutospacing="0" w:after="192" w:afterAutospacing="0"/>
        <w:jc w:val="both"/>
        <w:rPr>
          <w:rFonts w:ascii="Arial" w:hAnsi="Arial" w:cs="Arial"/>
          <w:color w:val="000000"/>
          <w:sz w:val="21"/>
          <w:szCs w:val="21"/>
        </w:rPr>
      </w:pPr>
    </w:p>
    <w:p w:rsidR="009341F7" w:rsidRDefault="009341F7" w:rsidP="009341F7">
      <w:pPr>
        <w:pStyle w:val="a3"/>
        <w:shd w:val="clear" w:color="auto" w:fill="FFFFFF"/>
        <w:spacing w:before="0" w:beforeAutospacing="0" w:after="192" w:afterAutospacing="0"/>
        <w:ind w:firstLine="708"/>
        <w:jc w:val="both"/>
        <w:rPr>
          <w:rFonts w:ascii="Arial" w:hAnsi="Arial" w:cs="Arial"/>
          <w:color w:val="000000"/>
          <w:sz w:val="21"/>
          <w:szCs w:val="21"/>
        </w:rPr>
      </w:pPr>
      <w:r>
        <w:rPr>
          <w:rFonts w:ascii="Arial" w:hAnsi="Arial" w:cs="Arial"/>
          <w:color w:val="000000"/>
          <w:sz w:val="21"/>
          <w:szCs w:val="21"/>
        </w:rPr>
        <w:t>Пленум Верховного Суда Российской Федерации 24 декабря 2019 года  внес изменения  в Постановление от 9 июля 2013 года  № 24 «О судебной практике по делам о взяточничестве и об иных коррупционных преступлениях» (далее – Постановление № 24) и  в Постановление от 16 октября 2009 года  № 19 «О судебной практике по делам о злоупотреблении должностными полномочиями и о превышении должностных полномочий».</w:t>
      </w:r>
    </w:p>
    <w:p w:rsidR="009341F7" w:rsidRDefault="009341F7" w:rsidP="009341F7">
      <w:pPr>
        <w:pStyle w:val="a3"/>
        <w:shd w:val="clear" w:color="auto" w:fill="FFFFFF"/>
        <w:spacing w:before="0" w:beforeAutospacing="0" w:after="192" w:afterAutospacing="0"/>
        <w:ind w:firstLine="708"/>
        <w:jc w:val="both"/>
        <w:rPr>
          <w:rFonts w:ascii="Arial" w:hAnsi="Arial" w:cs="Arial"/>
          <w:color w:val="000000"/>
          <w:sz w:val="21"/>
          <w:szCs w:val="21"/>
        </w:rPr>
      </w:pPr>
      <w:r>
        <w:rPr>
          <w:rFonts w:ascii="Arial" w:hAnsi="Arial" w:cs="Arial"/>
          <w:color w:val="000000"/>
          <w:sz w:val="21"/>
          <w:szCs w:val="21"/>
        </w:rPr>
        <w:t>В частности, в п. 9 Постановления № 24 внесено уточнение понятия предмета взятки и коммерческого подкупа. Таковым, помимо перечисленных, является доход должностного лица от использования бездокументарных ценных бумаг или цифровых прав.</w:t>
      </w:r>
    </w:p>
    <w:p w:rsidR="009341F7" w:rsidRDefault="009341F7" w:rsidP="009341F7">
      <w:pPr>
        <w:pStyle w:val="a3"/>
        <w:shd w:val="clear" w:color="auto" w:fill="FFFFFF"/>
        <w:spacing w:before="0" w:beforeAutospacing="0" w:after="192" w:afterAutospacing="0"/>
        <w:jc w:val="both"/>
        <w:rPr>
          <w:rFonts w:ascii="Arial" w:hAnsi="Arial" w:cs="Arial"/>
          <w:color w:val="000000"/>
          <w:sz w:val="21"/>
          <w:szCs w:val="21"/>
        </w:rPr>
      </w:pPr>
      <w:r>
        <w:rPr>
          <w:rFonts w:ascii="Arial" w:hAnsi="Arial" w:cs="Arial"/>
          <w:color w:val="000000"/>
          <w:sz w:val="21"/>
          <w:szCs w:val="21"/>
        </w:rPr>
        <w:t>Данная формулировка соотносится с нормами гражданского законодательства при определении объектов имущественных прав (ст. 128, ст. 141.1 Гражданского кодекса РФ).</w:t>
      </w:r>
    </w:p>
    <w:p w:rsidR="009341F7" w:rsidRDefault="009341F7" w:rsidP="009341F7">
      <w:pPr>
        <w:pStyle w:val="a3"/>
        <w:shd w:val="clear" w:color="auto" w:fill="FFFFFF"/>
        <w:spacing w:before="0" w:beforeAutospacing="0" w:after="192" w:afterAutospacing="0"/>
        <w:ind w:firstLine="708"/>
        <w:jc w:val="both"/>
        <w:rPr>
          <w:rFonts w:ascii="Arial" w:hAnsi="Arial" w:cs="Arial"/>
          <w:color w:val="000000"/>
          <w:sz w:val="21"/>
          <w:szCs w:val="21"/>
        </w:rPr>
      </w:pPr>
      <w:r>
        <w:rPr>
          <w:rFonts w:ascii="Arial" w:hAnsi="Arial" w:cs="Arial"/>
          <w:color w:val="000000"/>
          <w:sz w:val="21"/>
          <w:szCs w:val="21"/>
        </w:rPr>
        <w:t xml:space="preserve">Пункт 10 Постановления № 24 в новой редакции способом получения/дачи взятки или незаконного вознаграждения при коммерческом подкупе называет зачисление денежных средств с согласия должностного лица на указанный им электронный кошелек (к числу таких относятся электронные платформы, которые предлагают услуги по хранению и переводу денег без открытия счета, например, </w:t>
      </w:r>
      <w:proofErr w:type="spellStart"/>
      <w:r>
        <w:rPr>
          <w:rFonts w:ascii="Arial" w:hAnsi="Arial" w:cs="Arial"/>
          <w:color w:val="000000"/>
          <w:sz w:val="21"/>
          <w:szCs w:val="21"/>
        </w:rPr>
        <w:t>Яндекс.Деньги</w:t>
      </w:r>
      <w:proofErr w:type="spellEnd"/>
      <w:r>
        <w:rPr>
          <w:rFonts w:ascii="Arial" w:hAnsi="Arial" w:cs="Arial"/>
          <w:color w:val="000000"/>
          <w:sz w:val="21"/>
          <w:szCs w:val="21"/>
        </w:rPr>
        <w:t>, QUWI-кошелек и т.д.).</w:t>
      </w:r>
    </w:p>
    <w:p w:rsidR="009341F7" w:rsidRDefault="009341F7" w:rsidP="009341F7">
      <w:pPr>
        <w:pStyle w:val="a3"/>
        <w:shd w:val="clear" w:color="auto" w:fill="FFFFFF"/>
        <w:spacing w:before="0" w:beforeAutospacing="0" w:after="192" w:afterAutospacing="0"/>
        <w:ind w:firstLine="708"/>
        <w:jc w:val="both"/>
        <w:rPr>
          <w:rFonts w:ascii="Arial" w:hAnsi="Arial" w:cs="Arial"/>
          <w:color w:val="000000"/>
          <w:sz w:val="21"/>
          <w:szCs w:val="21"/>
        </w:rPr>
      </w:pPr>
      <w:r>
        <w:rPr>
          <w:rFonts w:ascii="Arial" w:hAnsi="Arial" w:cs="Arial"/>
          <w:color w:val="000000"/>
          <w:sz w:val="21"/>
          <w:szCs w:val="21"/>
        </w:rPr>
        <w:t>Привлечь к уголовной ответственности должностное лицо за взятку или коммерческий подкуп можно будет в том случае, когда при предварительной договоренности взяткодатель помещает ценности в условленное место (например, переводит деньги на указанный взяткополучателем номер электронного кошелька), к которому у взяткополучателя имеется доступ либо доступ обеспечивается взяткодателем. При этом не имеет значения, получило ли должностное лицо реальную возможность пользоваться или распоряжаться зачисленной суммой.</w:t>
      </w:r>
    </w:p>
    <w:p w:rsidR="009341F7" w:rsidRDefault="009341F7" w:rsidP="009341F7">
      <w:pPr>
        <w:pStyle w:val="a3"/>
        <w:shd w:val="clear" w:color="auto" w:fill="FFFFFF"/>
        <w:spacing w:before="0" w:beforeAutospacing="0" w:after="192" w:afterAutospacing="0"/>
        <w:ind w:firstLine="708"/>
        <w:jc w:val="both"/>
        <w:rPr>
          <w:rFonts w:ascii="Arial" w:hAnsi="Arial" w:cs="Arial"/>
          <w:color w:val="000000"/>
          <w:sz w:val="21"/>
          <w:szCs w:val="21"/>
        </w:rPr>
      </w:pPr>
      <w:r>
        <w:rPr>
          <w:rFonts w:ascii="Arial" w:hAnsi="Arial" w:cs="Arial"/>
          <w:color w:val="000000"/>
          <w:sz w:val="21"/>
          <w:szCs w:val="21"/>
        </w:rPr>
        <w:t>Новым пунктом 11.1 Постановления № 24 предусматривается, что независимо от того, какую часть получил взяткополучатель от суммы взятки, ответственность за ее дачу или получение наступит за тот размер взятки, о котором предварительно договорились обе стороны.</w:t>
      </w:r>
    </w:p>
    <w:p w:rsidR="009341F7" w:rsidRDefault="009341F7" w:rsidP="009341F7">
      <w:pPr>
        <w:pStyle w:val="a3"/>
        <w:shd w:val="clear" w:color="auto" w:fill="FFFFFF"/>
        <w:spacing w:before="0" w:beforeAutospacing="0" w:after="192" w:afterAutospacing="0"/>
        <w:ind w:firstLine="708"/>
        <w:jc w:val="both"/>
        <w:rPr>
          <w:rFonts w:ascii="Arial" w:hAnsi="Arial" w:cs="Arial"/>
          <w:color w:val="000000"/>
          <w:sz w:val="21"/>
          <w:szCs w:val="21"/>
        </w:rPr>
      </w:pPr>
      <w:r>
        <w:rPr>
          <w:rFonts w:ascii="Arial" w:hAnsi="Arial" w:cs="Arial"/>
          <w:color w:val="000000"/>
          <w:sz w:val="21"/>
          <w:szCs w:val="21"/>
        </w:rPr>
        <w:t>Введенными п. 13.1 – 13.5 Постановления № 24 дается описание двум видам посредничества во взятке. Так, различается физическое посредничество, когда передача по поручению взяткодателя или взяткополучателя денег и других ценностей происходит непосредственно, а также иное способствование (интеллектуальное посредничество) в получении и даче взятки либо предмета коммерческого подкупа (например, организация встречи, ведение переговоров).</w:t>
      </w:r>
    </w:p>
    <w:p w:rsidR="009341F7" w:rsidRDefault="009341F7" w:rsidP="009341F7">
      <w:pPr>
        <w:pStyle w:val="a3"/>
        <w:shd w:val="clear" w:color="auto" w:fill="FFFFFF"/>
        <w:spacing w:before="0" w:beforeAutospacing="0" w:after="192" w:afterAutospacing="0"/>
        <w:ind w:firstLine="708"/>
        <w:jc w:val="both"/>
        <w:rPr>
          <w:rFonts w:ascii="Arial" w:hAnsi="Arial" w:cs="Arial"/>
          <w:color w:val="000000"/>
          <w:sz w:val="21"/>
          <w:szCs w:val="21"/>
        </w:rPr>
      </w:pPr>
      <w:r>
        <w:rPr>
          <w:rFonts w:ascii="Arial" w:hAnsi="Arial" w:cs="Arial"/>
          <w:color w:val="000000"/>
          <w:sz w:val="21"/>
          <w:szCs w:val="21"/>
        </w:rPr>
        <w:t>При физическом посредничестве, когда согласно договоренности коррупционера с посредником о том, что деньги от взяткодателя остаются у последнего, преступление будет считаться оконченным с момента получения ценностей посредником. В иных случаях физическое посредничество при передаче взятки будет окончено при условии передачи хотя бы части взятки лицу, которому они предназначены.</w:t>
      </w:r>
    </w:p>
    <w:p w:rsidR="009341F7" w:rsidRDefault="009341F7" w:rsidP="009341F7">
      <w:pPr>
        <w:pStyle w:val="a3"/>
        <w:shd w:val="clear" w:color="auto" w:fill="FFFFFF"/>
        <w:spacing w:before="0" w:beforeAutospacing="0" w:after="192" w:afterAutospacing="0"/>
        <w:ind w:firstLine="708"/>
        <w:jc w:val="both"/>
        <w:rPr>
          <w:rFonts w:ascii="Arial" w:hAnsi="Arial" w:cs="Arial"/>
          <w:color w:val="000000"/>
          <w:sz w:val="21"/>
          <w:szCs w:val="21"/>
        </w:rPr>
      </w:pPr>
      <w:r>
        <w:rPr>
          <w:rFonts w:ascii="Arial" w:hAnsi="Arial" w:cs="Arial"/>
          <w:color w:val="000000"/>
          <w:sz w:val="21"/>
          <w:szCs w:val="21"/>
        </w:rPr>
        <w:t>Так называемое интеллектуальное посредничество будет считаться оконченным с момента выполнения посредником действий, направленных на достижение соглашения между взяткодателем или взяткополучателем, независимо от результата достижения такого соглашения между ними.</w:t>
      </w:r>
    </w:p>
    <w:p w:rsidR="009341F7" w:rsidRDefault="009341F7" w:rsidP="009341F7">
      <w:pPr>
        <w:pStyle w:val="a3"/>
        <w:shd w:val="clear" w:color="auto" w:fill="FFFFFF"/>
        <w:spacing w:before="0" w:beforeAutospacing="0" w:after="192" w:afterAutospacing="0"/>
        <w:ind w:firstLine="708"/>
        <w:jc w:val="both"/>
        <w:rPr>
          <w:rFonts w:ascii="Arial" w:hAnsi="Arial" w:cs="Arial"/>
          <w:color w:val="000000"/>
          <w:sz w:val="21"/>
          <w:szCs w:val="21"/>
        </w:rPr>
      </w:pPr>
      <w:r>
        <w:rPr>
          <w:rFonts w:ascii="Arial" w:hAnsi="Arial" w:cs="Arial"/>
          <w:color w:val="000000"/>
          <w:sz w:val="21"/>
          <w:szCs w:val="21"/>
        </w:rPr>
        <w:t>В новой редакции п. 24 Постановления № 24 разъясняется: если коррупционер получил деньги (иные ценности) за действия, которые он осуществить не может, так как не обладает соответствующими полномочиями, то его действия подлежат квалификации как мошенничество. Владелец же переданных денег (ценностей) будет привлечен за покушение на дачу взятки или коммерческий подкуп, при этом он не будет считаться потерпевшим по делу о мошенничестве, соответственно, возврат денег и возмещение вреда ему не предусмотрены.</w:t>
      </w:r>
    </w:p>
    <w:p w:rsidR="009341F7" w:rsidRDefault="009341F7" w:rsidP="009341F7">
      <w:pPr>
        <w:pStyle w:val="a3"/>
        <w:shd w:val="clear" w:color="auto" w:fill="FFFFFF"/>
        <w:spacing w:before="0" w:beforeAutospacing="0" w:after="192" w:afterAutospacing="0"/>
        <w:ind w:firstLine="708"/>
        <w:jc w:val="both"/>
        <w:rPr>
          <w:rFonts w:ascii="Arial" w:hAnsi="Arial" w:cs="Arial"/>
          <w:color w:val="000000"/>
          <w:sz w:val="21"/>
          <w:szCs w:val="21"/>
        </w:rPr>
      </w:pPr>
      <w:r>
        <w:rPr>
          <w:rFonts w:ascii="Arial" w:hAnsi="Arial" w:cs="Arial"/>
          <w:color w:val="000000"/>
          <w:sz w:val="21"/>
          <w:szCs w:val="21"/>
        </w:rPr>
        <w:lastRenderedPageBreak/>
        <w:t>Относительно освобождения от уголовной ответственности за совершение преступлений по ст. 291.1, ст. 204.1, 291, 291.2, ч. 1-4 ст. 204, ст. 204.2 УК РФ предлагается шире толковать добровольность сообщения о совершенном преступлении, поэтому условие о том, что о преступлении не должно быть известно органам власти в момент признания о нем, исключено (п. 29 Постановления № 24).</w:t>
      </w:r>
    </w:p>
    <w:p w:rsidR="009341F7" w:rsidRDefault="009341F7" w:rsidP="009341F7">
      <w:pPr>
        <w:pStyle w:val="a3"/>
        <w:shd w:val="clear" w:color="auto" w:fill="FFFFFF"/>
        <w:spacing w:before="0" w:beforeAutospacing="0" w:after="192" w:afterAutospacing="0"/>
        <w:ind w:firstLine="708"/>
        <w:jc w:val="both"/>
        <w:rPr>
          <w:rFonts w:ascii="Arial" w:hAnsi="Arial" w:cs="Arial"/>
          <w:color w:val="000000"/>
          <w:sz w:val="21"/>
          <w:szCs w:val="21"/>
        </w:rPr>
      </w:pPr>
      <w:r>
        <w:rPr>
          <w:rFonts w:ascii="Arial" w:hAnsi="Arial" w:cs="Arial"/>
          <w:color w:val="000000"/>
          <w:sz w:val="21"/>
          <w:szCs w:val="21"/>
        </w:rPr>
        <w:t>Верховный Суд РФ также отметил, что результаты оперативно-розыскных мероприятий могут использоваться в доказывании по преступлениям коррупционной направленности, только если они добыты в рамках закона.</w:t>
      </w:r>
    </w:p>
    <w:p w:rsidR="00CE1200" w:rsidRDefault="00CE1200"/>
    <w:p w:rsidR="005524F7" w:rsidRDefault="005524F7">
      <w:r>
        <w:t>Прокурор отдела по надзору за следствием и дознанием в органах внутренних дел прокуратуры Краснодарского края Степанов А.В.</w:t>
      </w:r>
    </w:p>
    <w:sectPr w:rsidR="005524F7" w:rsidSect="00FD23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9341F7"/>
    <w:rsid w:val="005524F7"/>
    <w:rsid w:val="009341F7"/>
    <w:rsid w:val="00B671E8"/>
    <w:rsid w:val="00CE1200"/>
    <w:rsid w:val="00FD23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3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41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2067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650</Words>
  <Characters>3708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cp:lastModifiedBy>
  <cp:revision>2</cp:revision>
  <dcterms:created xsi:type="dcterms:W3CDTF">2020-05-18T08:09:00Z</dcterms:created>
  <dcterms:modified xsi:type="dcterms:W3CDTF">2020-05-18T08:09:00Z</dcterms:modified>
</cp:coreProperties>
</file>