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пользоваться Публичной кадастровой картой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 сегодня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шний день в Интернете представлено множество полезных инструментов и опций, посредством которых гражданам приходится по роду деятельности либо из праздного любопытства использовать карту России.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Среди общего многообразия сайтов и площадок, особняком стоит официальный сервис, размещенный на официальном сайте Росреестра (pkk.rosreestr.ru) - Публичная кадастровая карта (ПКК).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 же такое ПКК и как ей пользоваться?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ПКК содержит информацию и параметры объектов недвижимости, прошедших государственный кадастровый учет и внесенных в Единый государственный реестр недвижимости (ЕГРН). Сервис находится в свободном доступе и ведется в соответствии с принципами открытости и доступности. Пользователям ПКК не нужно регистрироваться на сайте Росреестра, подавать запросы или вносить оплату.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«Интерфейс Публичной кадастровой карты аналогичен популярным сервисам </w:t>
      </w:r>
      <w:proofErr w:type="spellStart"/>
      <w:r>
        <w:rPr>
          <w:rFonts w:ascii="Times New Roman" w:hAnsi="Times New Roman" w:cs="Times New Roman"/>
          <w:i/>
          <w:sz w:val="28"/>
        </w:rPr>
        <w:t>Google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Maps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8"/>
        </w:rPr>
        <w:t>Яндекс.Карты</w:t>
      </w:r>
      <w:proofErr w:type="spellEnd"/>
      <w:r>
        <w:rPr>
          <w:rFonts w:ascii="Times New Roman" w:hAnsi="Times New Roman" w:cs="Times New Roman"/>
          <w:i/>
          <w:sz w:val="28"/>
        </w:rPr>
        <w:t>. Удобная привязка к географической карте России дает возможность визуально отыскать объект недвижимости, не зная его точного адреса, но зная его примерное местоположение и некоторые характерные особенности»,</w:t>
      </w:r>
      <w:r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b/>
          <w:sz w:val="28"/>
        </w:rPr>
        <w:t>отмечает начальник отдела обеспечения ведения ЕГРН Алексей Александрович Осин.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наведении курсора на любую точку на ПКК, а также выполнив поиск по одному из доступных параметров (кадастровый номер, географические координаты объекта или адрес), пользователь получит основные сведения о найденном объекте. </w:t>
      </w:r>
      <w:r>
        <w:rPr>
          <w:rFonts w:ascii="Times New Roman" w:hAnsi="Times New Roman" w:cs="Times New Roman"/>
          <w:sz w:val="28"/>
        </w:rPr>
        <w:lastRenderedPageBreak/>
        <w:t xml:space="preserve">Представленная информация будет содержать данные о соответствующей кадастровой единице, в зависимости от вида объекта недвижимости.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Так, при просмотре сведений о земельном участке, будет доступна информация о его конфигурации, категории земель, его разрешенном использовании, форме собственности, кадастровой стоимости. Также, возможно просмотреть смежные с искомым объектом земельные участки, поставленные на кадастровый учет.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ПКК также предоставляет пользователю возможность получить справочную информацию об объекте в режиме онлайн или выписку из ЕГРН. Данная возможность содержится в разделе «Услуги» в карточке с информацией об объекте.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Посредством ПКК возможно получить общедоступные сведения о памятниках истории, зонах с особыми условиями использования территории, лесничествах, особо охраняемых природных территориях и так далее.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Взаимосвязанные ресурсы позволяют работать с пространственными данными, измерять расстояния между объектами, определять координаты точки. Пользователь может распечатать нужный фрагмент с комментариями, а также поделиться ссылкой на него в социальных сетях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комфортного использования сервиса пользователю перед началом работы с ПКК представлена возможность пройти обучение, который представляет собой пошаговый инструктаж, демонстрирующий возможности и инструменты сервиса.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Для современного рынка недвижимости, ПКК представляет собой универсальный и незаменимый для всех участников инструмент, предоставляющий возможность изучить объект недвижимости до официального заключения сделки. ПКК доступна для пользователей в режиме 24/7, функционал ее постоянно дополняется и модернизируется с учетом требований рынка и пожеланий пользователей.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20</cp:revision>
  <dcterms:created xsi:type="dcterms:W3CDTF">2021-07-30T12:29:00Z</dcterms:created>
  <dcterms:modified xsi:type="dcterms:W3CDTF">2021-08-02T09:54:00Z</dcterms:modified>
</cp:coreProperties>
</file>