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137795</wp:posOffset>
            </wp:positionH>
            <wp:positionV relativeFrom="page">
              <wp:posOffset>989330</wp:posOffset>
            </wp:positionV>
            <wp:extent cx="2696845" cy="1104900"/>
            <wp:effectExtent l="0" t="0" r="8255" b="0"/>
            <wp:wrapSquare wrapText="bothSides"/>
            <wp:docPr id="2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0231" t="20090" r="9901" b="19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Как техническая ошибка в сведениях ЕГРН может повлиять на исчисление налога на недвижимость</w:t>
      </w:r>
    </w:p>
    <w:p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 6 месяцев 2021 года было исправлено более 100 тысяч технических ошибок в сведениях об объектах недвижимости в Едином государственном реестре недвижимости (ЕГРН)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кадастровых процедур, осуществляемых органом регистрации прав, является исправление ошибок в сведениях ЕГРН. 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Закону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«О государственной регистрации недвижимости»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технической ошибкой является ошибка (описка, опечатка, грамматическая или арифметическая ошибка), допущенная органом регистрации прав при внесении сведений в ЕГРН. </w:t>
      </w:r>
    </w:p>
    <w:p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Допущенная ошибка приводит к тому, что сведения, содержащиеся в ЕГРН, отличаются от сведений в документах, которые были ранее представлены для осуществления кадастрового учёта и регистрации прав. </w:t>
      </w:r>
    </w:p>
    <w:p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Зачастую в списке самых распространенных технических ошибок –неправильные фамилии, имена и отчества собственников, адреса объектов недвижимости.</w:t>
      </w:r>
    </w:p>
    <w:p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Неточные сведения в ЕГРН также возникают в результате некорректной передачи данных об объектах недвижимости из баз данных органов технической инвентаризации и органов государственной власти. </w:t>
      </w:r>
    </w:p>
    <w:p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Порядок исправления технической ошибки в сведениях ЕГРН</w:t>
      </w:r>
    </w:p>
    <w:p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выявлении технической ошибки государственный регистратор прав (Росреестра) самостоятельно принимает решение об устранении неверных данных в сведениях ЕГРН. Кроме этого, ошибка может быть исправлена на основании вступившего в законную силу решения суда. </w:t>
      </w:r>
    </w:p>
    <w:p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Подать заявление об исправлении технической ошибки в ЕГРН может сам правообладатель, а также его представитель по доверенности.  </w:t>
      </w:r>
    </w:p>
    <w:p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Росреестр в течение трех рабочих дней со дня исправления технической ошибки уведомляет об этом заявителя.</w:t>
      </w:r>
    </w:p>
    <w:p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«Г</w:t>
      </w:r>
      <w:r>
        <w:rPr>
          <w:rFonts w:ascii="Times New Roman" w:hAnsi="Times New Roman" w:cs="Times New Roman"/>
          <w:i/>
          <w:sz w:val="28"/>
          <w:szCs w:val="28"/>
        </w:rPr>
        <w:t>осударственный регистратор прав исправляет техническую ошибку лишь в том случае, если изменения не повлекут за собой прекращение, возникновение, переход зарегистрированного права на объект недвижимости»,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отмечает начальник отдела нормализации баз данных Владимир Шмелев.</w:t>
      </w:r>
    </w:p>
    <w:p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обнаружении технической ошибки в полученной выписке из ЕГРН на объект недвижимости, любое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заинтересованное лицо</w:t>
      </w:r>
      <w:r>
        <w:rPr>
          <w:rFonts w:ascii="Times New Roman" w:hAnsi="Times New Roman" w:cs="Times New Roman"/>
          <w:sz w:val="28"/>
          <w:szCs w:val="28"/>
        </w:rPr>
        <w:t xml:space="preserve"> может обратиться в МФЦ с заявлением об исправлении технических ошибок в записях ЕГРН. При этом рекомендуется приложить документы, подтверждающие наличие технических ошибок. </w:t>
      </w:r>
    </w:p>
    <w:p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обращение о проверке наличия ошибок в ЕГРН можно в Кадастровую палату по Краснодарскому краю: </w:t>
      </w:r>
    </w:p>
    <w:p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почтой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350018, Краснодарский край,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3, </w:t>
      </w:r>
    </w:p>
    <w:p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электронном виде на сайте Федеральной кадастровой палаты Росреестра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http://www.kadastr.ru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помощью сервиса «Обращения онлайн» в разделе «Обратная связь».</w:t>
      </w:r>
    </w:p>
    <w:p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рассмотрения запроса составляет 30 дней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 дня его регистрации. Порядок подготовки ответа на обращения регулируются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02.05.2006 № 59-ФЗ «О порядке рассмотрения обращений граждан Российской Федерации».</w:t>
        </w:r>
      </w:hyperlink>
    </w:p>
    <w:p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 чему могут привести ошибки в сведениях ЕГРН?</w:t>
      </w:r>
    </w:p>
    <w:p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Чтобы вовремя устранить ошибки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госреестре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недвижимости стоит обращать внимание на данные в заявлениях, в документах на принадлежащий объект, договорах купли-продажи. Получая выписку, также не забывайте проверять данные по объекту недвижимости.</w:t>
      </w:r>
    </w:p>
    <w:p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Ошибки в сведениях ЕГРН могут привести к тому, что на ваш объект будет начисляться неверный налог, вам могут вынести приостановление или вовсе отказать в регистрации права. Неправильно указанные сведения нередко приводят к судебным спорам.</w:t>
      </w:r>
    </w:p>
    <w:p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обнаружении ошибки в момент заключения договора купли-продажи или подписания ипотечного договора, такая ошибка может привести к увеличению сроков осуществления операции или вовсе расстроить сделку.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</w:rPr>
      </w:pPr>
      <w:r>
        <w:rPr>
          <w:rFonts w:ascii="Segoe UI" w:eastAsia="Times New Roman" w:hAnsi="Segoe UI" w:cs="Segoe UI"/>
          <w:color w:val="000000"/>
          <w:sz w:val="24"/>
          <w:szCs w:val="28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</w:rPr>
      </w:pPr>
      <w:r>
        <w:rPr>
          <w:rFonts w:ascii="Segoe UI" w:eastAsia="Times New Roman" w:hAnsi="Segoe UI" w:cs="Segoe UI"/>
          <w:color w:val="000000"/>
          <w:sz w:val="24"/>
          <w:szCs w:val="28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000FF" w:themeColor="hyperlink"/>
          <w:u w:val="single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</w:rPr>
            </w:pPr>
            <w:hyperlink r:id="rId12" w:history="1">
              <w:r>
                <w:rPr>
                  <w:rFonts w:ascii="Segoe UI" w:eastAsia="Times New Roman" w:hAnsi="Segoe UI" w:cs="Segoe UI"/>
                  <w:color w:val="0000FF" w:themeColor="hyperlink"/>
                  <w:sz w:val="24"/>
                  <w:szCs w:val="28"/>
                  <w:u w:val="single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32"/>
        </w:rPr>
      </w:pPr>
    </w:p>
    <w:sectPr>
      <w:footerReference w:type="defaul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  <w:p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F17613"/>
    <w:multiLevelType w:val="hybridMultilevel"/>
    <w:tmpl w:val="F8963D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22BED-198B-4428-A304-58C82BA1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</w:style>
  <w:style w:type="paragraph" w:styleId="a9">
    <w:name w:val="footer"/>
    <w:basedOn w:val="a"/>
    <w:link w:val="a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82661/eb949852dbe72671f46c225fd6c28e9cecbe64da/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://www.consultant.ru/document/cons_doc_LAW_5999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dastr.ru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Полина Олеговна</dc:creator>
  <cp:lastModifiedBy>Назаренко Варвара Сергеевна</cp:lastModifiedBy>
  <cp:revision>15</cp:revision>
  <dcterms:created xsi:type="dcterms:W3CDTF">2020-06-19T06:20:00Z</dcterms:created>
  <dcterms:modified xsi:type="dcterms:W3CDTF">2021-09-01T12:15:00Z</dcterms:modified>
</cp:coreProperties>
</file>