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действует закон о выявлении ранее возникших прав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объекты недвижимости?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29 июня 2021 года Федеральный закон от 30 декабря 2020 года № 518-ФЗ «О внесении изменений в отдельные законодательные акты Российской Федерации» наделил органы исполнительной власти и местного самоуправления полномочиями по выявлению правообладателей ранее учтенных объектов недвижимости и направлению сведений о них в Росреестр. Эксперты ведомства пояснили, для чего необходимо выявлять такие объекты недвижимости, а также рассказали, как действовать собственникам, чтобы защитить свои права.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Какие объекты недвижимости считаются ранее учтенными?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настоящее время правила государственного кадастрового учета и регистрации прав на недвижимость регламентируются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Федеральным законом от 13.07.2015 № 218-ФЗ</w:t>
        </w:r>
      </w:hyperlink>
      <w:r>
        <w:rPr>
          <w:rFonts w:ascii="Times New Roman" w:hAnsi="Times New Roman" w:cs="Times New Roman"/>
          <w:bCs/>
          <w:sz w:val="28"/>
        </w:rPr>
        <w:t xml:space="preserve"> «О государственной регистрации недвижимости» (далее – Федеральный закон № 218-ФЗ). До него (до 01.01.2017) действовали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Федеральный закон от 21.07.1997 № 122-ФЗ</w:t>
        </w:r>
      </w:hyperlink>
      <w:r>
        <w:rPr>
          <w:rFonts w:ascii="Times New Roman" w:hAnsi="Times New Roman" w:cs="Times New Roman"/>
          <w:bCs/>
          <w:sz w:val="28"/>
        </w:rPr>
        <w:t xml:space="preserve"> «О государственной регистрации прав на недвижимое имущество и сделок с ним» (далее – Федеральный закон № 122-ФЗ) и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Федеральный закон от 24.06.2007 № 221-ФЗ «О государственном кадастре недвижимости» (далее – Федеральный закон № 221-ФЗ)</w:t>
        </w:r>
      </w:hyperlink>
      <w:r>
        <w:rPr>
          <w:rFonts w:ascii="Times New Roman" w:hAnsi="Times New Roman" w:cs="Times New Roman"/>
          <w:bCs/>
          <w:sz w:val="28"/>
        </w:rPr>
        <w:t>. Ранее возникшие права на объекты недвижимости – это права на ранее учтенные объекты недвижимости, которые возникли и правоустанавливающие документы на них оформлены до дня вступления в силу Федерального закона № 122-ФЗ (до 31.01.1998). При этом стоит отметить, что государственная регистрация ранее возникших прав в ЕГРН проводится по желанию собственников недвижимости.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В свою очередь, ранее учтенными объектами недвижимости считаются объекты, в отношении которых осуществлен технический учет или государственный учет, в том числе осуществленный в установленном до дня вступления в силу Федерального закона № 221-ФЗ (до 01.03.2008) порядке, а также объекты, в отношении которых такой учет не осуществлен, но права на них зарегистрированы в ЕГРН и не прекращены и которым присвоены были условные номера в порядке, установленном в соответствии с Федеральным законом № 122-ФЗ.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Что дает новый закон?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Новый закон направлен на установление актуальных и достоверных сведений о правообладателях ранее учтенных объектов недвижимости, а также на защиту их прав и имущественных интересов, в том числе связанных с согласованием границ смежных земельных участков.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Реализация закона позволит исключить из ЕГРН неактуальные сведения о прекративших существование ранее учтенных объектах недвижимости на основании акта осмотра, подготовленного самим органом местного самоуправления. Составление кадастровым инженером акта обследования в указанном случае для снятия объекта с кадастрового учета не потребуется.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 выявляются объекты недвижимости с ранее возникшими правами?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Органы государственной власти городов федерального значения Москвы, Санкт-Петербурга и Севастополя и органы местного самоуправления самостоятельно проводят анализ сведений в своих архивах, а также запрашивают информацию в налоговом органе, Пенсионном фонде России, органах внутренних дел, органе записи актов гражданского состояния, у нотариусов и т.д.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объект недвижимости – земельный участок, то уполномоченные на проведение работ по выявлению правообладателей объектов недвижимости органы вправе дополнительно организовать проведение комплексных кадастровых работ, чтобы установить либо уточнить границы этого земельного участка.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В случае выявления собственников ранее учтенных объектов недвижимости уполномоченные органы готовят проект решения и в течение пяти рабочих дней с момента его подготовки размещает информацию о выявленном правообладателе ранее учтенного объекта недвижимости в официальных источниках в сети Интернет, на информационных щитах в границах населенного пункта, на территории которого расположены ранее учтенные объекты недвижимости, путем опубликования в средствах массовой информации. Также проект решения направляется выявленному лицу заказным письмом или в электронном виде на адрес электронной почты – в случае, если правообладатель указал соответствующие сведения для связи с ним.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в течение 45 дней со дня получения проекта решения не поступит возражений со стороны выявленных правообладателей ранее учтенных объектов недвижимости, уполномоченные органы принимают решение о выявлении правообладателя и самостоятельно направляют его в Росреестр с заявлением о внесении в ЕГРН соответствующих сведений.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Дополнительных действий со стороны правообладателей не требуется. При этом владельцы ранее учтенных объектов недвижимости могут самостоятельно зарегистрировать свои права. Для этого необходимо обратиться в офисы Росреестра, Федеральной кадастровой палаты или в МФЦ с заявлением о внесении сведений в ЕГРН о ранее учтенном объекте недвижимости и (или) государственной регистрации прав, приложив к нему правоустанавливающий документ на объект недвижимости.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Важно! </w:t>
      </w:r>
      <w:r>
        <w:rPr>
          <w:rFonts w:ascii="Times New Roman" w:hAnsi="Times New Roman" w:cs="Times New Roman"/>
          <w:bCs/>
          <w:sz w:val="28"/>
        </w:rPr>
        <w:t xml:space="preserve">С 1 января 2021 года государственная пошлина за регистрацию ранее возникших прав на объекты недвижимости не уплачивается. Соответствующие изменения внесены в Налоговый кодекс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Российской</w:t>
        </w:r>
      </w:hyperlink>
      <w:r>
        <w:rPr>
          <w:rFonts w:ascii="Times New Roman" w:hAnsi="Times New Roman" w:cs="Times New Roman"/>
          <w:bCs/>
          <w:sz w:val="28"/>
        </w:rPr>
        <w:t xml:space="preserve"> Федерации, и действуют с 29 декабря 2020 года.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 узнать, есть ли в ЕГРН сведения об объекте недвижимости?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Проверить наличие сведений об объекте недвижимости в ЕГРН собственники могут самостоятельно. В этом им может помочь портал Росреестра. Самый простой вариант – сделать онлайн-запрос. Для этого достаточно обратиться к электронному </w:t>
      </w:r>
      <w:r>
        <w:rPr>
          <w:rFonts w:ascii="Times New Roman" w:hAnsi="Times New Roman" w:cs="Times New Roman"/>
          <w:bCs/>
          <w:sz w:val="28"/>
        </w:rPr>
        <w:lastRenderedPageBreak/>
        <w:t xml:space="preserve">сервису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 xml:space="preserve">«Справочная информация по объектам недвижимости в режиме </w:t>
        </w:r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online</w:t>
        </w:r>
        <w:proofErr w:type="spellEnd"/>
        <w:r>
          <w:rPr>
            <w:rStyle w:val="ab"/>
            <w:rFonts w:ascii="Times New Roman" w:hAnsi="Times New Roman" w:cs="Times New Roman"/>
            <w:bCs/>
            <w:sz w:val="28"/>
          </w:rPr>
          <w:t>»</w:t>
        </w:r>
      </w:hyperlink>
      <w:r>
        <w:rPr>
          <w:rFonts w:ascii="Times New Roman" w:hAnsi="Times New Roman" w:cs="Times New Roman"/>
          <w:bCs/>
          <w:sz w:val="28"/>
        </w:rPr>
        <w:t xml:space="preserve"> на сайте Росреестра.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Чтобы получить более подробные сведения, необходимо заказать выписку с помощью сервиса Росреестра (</w:t>
      </w:r>
      <w:hyperlink r:id="rId13" w:history="1">
        <w:r>
          <w:rPr>
            <w:rStyle w:val="ab"/>
            <w:rFonts w:ascii="Times New Roman" w:hAnsi="Times New Roman" w:cs="Times New Roman"/>
            <w:bCs/>
            <w:sz w:val="28"/>
          </w:rPr>
          <w:t>https://rosreestr.gov.ru/</w:t>
        </w:r>
      </w:hyperlink>
      <w:r>
        <w:rPr>
          <w:rFonts w:ascii="Times New Roman" w:hAnsi="Times New Roman" w:cs="Times New Roman"/>
          <w:bCs/>
          <w:sz w:val="28"/>
        </w:rPr>
        <w:t>), Единого портала государственных и муниципальных услуг (</w:t>
      </w:r>
      <w:hyperlink r:id="rId14" w:history="1">
        <w:r>
          <w:rPr>
            <w:rStyle w:val="ab"/>
            <w:rFonts w:ascii="Times New Roman" w:hAnsi="Times New Roman" w:cs="Times New Roman"/>
            <w:bCs/>
            <w:sz w:val="28"/>
          </w:rPr>
          <w:t>https://www.gosuslugi.ru/</w:t>
        </w:r>
      </w:hyperlink>
      <w:r>
        <w:rPr>
          <w:rFonts w:ascii="Times New Roman" w:hAnsi="Times New Roman" w:cs="Times New Roman"/>
          <w:bCs/>
          <w:sz w:val="28"/>
        </w:rPr>
        <w:t>) или на сайте Федеральной кадастровой палаты (</w:t>
      </w:r>
      <w:hyperlink r:id="rId15" w:history="1">
        <w:r>
          <w:rPr>
            <w:rStyle w:val="ab"/>
            <w:rFonts w:ascii="Times New Roman" w:hAnsi="Times New Roman" w:cs="Times New Roman"/>
            <w:bCs/>
            <w:sz w:val="28"/>
          </w:rPr>
          <w:t>https://spv.kadastr.ru/</w:t>
        </w:r>
      </w:hyperlink>
      <w:r>
        <w:rPr>
          <w:rFonts w:ascii="Times New Roman" w:hAnsi="Times New Roman" w:cs="Times New Roman"/>
          <w:bCs/>
          <w:sz w:val="28"/>
        </w:rPr>
        <w:t>).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7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  <w:rPr>
          <w:sz w:val="2"/>
          <w:szCs w:val="2"/>
        </w:rPr>
      </w:pPr>
    </w:p>
    <w:sectPr>
      <w:footerReference w:type="default" r:id="rId2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661/" TargetMode="External"/><Relationship Id="rId13" Type="http://schemas.openxmlformats.org/officeDocument/2006/relationships/hyperlink" Target="https://rosreestr.gov.ru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lk.rosreestr.ru/eservices/real-estate-objects-online" TargetMode="External"/><Relationship Id="rId17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6844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pv.kadast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70088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287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25</cp:revision>
  <dcterms:created xsi:type="dcterms:W3CDTF">2021-07-30T12:29:00Z</dcterms:created>
  <dcterms:modified xsi:type="dcterms:W3CDTF">2022-01-18T12:52:00Z</dcterms:modified>
</cp:coreProperties>
</file>