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15" w:rsidRDefault="0005657E">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E7F15" w:rsidRDefault="00DE7F15">
      <w:pPr>
        <w:spacing w:after="0"/>
        <w:rPr>
          <w:rFonts w:ascii="Times New Roman" w:hAnsi="Times New Roman" w:cs="Times New Roman"/>
          <w:sz w:val="28"/>
        </w:rPr>
      </w:pPr>
    </w:p>
    <w:p w:rsidR="00DE7F15" w:rsidRDefault="00DE7F15">
      <w:pPr>
        <w:spacing w:after="0"/>
        <w:jc w:val="center"/>
        <w:rPr>
          <w:rFonts w:ascii="Times New Roman" w:hAnsi="Times New Roman" w:cs="Times New Roman"/>
          <w:sz w:val="28"/>
        </w:rPr>
      </w:pPr>
    </w:p>
    <w:p w:rsidR="00DE7F15" w:rsidRDefault="00DE7F15" w:rsidP="001A1130">
      <w:pPr>
        <w:spacing w:after="120"/>
        <w:jc w:val="right"/>
        <w:rPr>
          <w:rFonts w:ascii="Times New Roman" w:hAnsi="Times New Roman" w:cs="Times New Roman"/>
          <w:sz w:val="28"/>
        </w:rPr>
      </w:pPr>
    </w:p>
    <w:p w:rsidR="00975772" w:rsidRDefault="0005657E" w:rsidP="001A1130">
      <w:pPr>
        <w:spacing w:after="120"/>
        <w:jc w:val="right"/>
        <w:rPr>
          <w:rFonts w:ascii="Times New Roman" w:hAnsi="Times New Roman" w:cs="Times New Roman"/>
          <w:sz w:val="28"/>
        </w:rPr>
      </w:pPr>
      <w:r>
        <w:rPr>
          <w:rFonts w:ascii="Times New Roman" w:hAnsi="Times New Roman" w:cs="Times New Roman"/>
          <w:b/>
          <w:sz w:val="28"/>
        </w:rPr>
        <w:t>ПРЕСС-РЕЛИЗ</w:t>
      </w:r>
    </w:p>
    <w:p w:rsidR="00DE7F15" w:rsidRDefault="00DE7F15" w:rsidP="001A1130">
      <w:pPr>
        <w:spacing w:after="120"/>
        <w:jc w:val="right"/>
        <w:rPr>
          <w:rFonts w:ascii="Times New Roman" w:hAnsi="Times New Roman" w:cs="Times New Roman"/>
          <w:b/>
          <w:sz w:val="28"/>
        </w:rPr>
      </w:pPr>
    </w:p>
    <w:p w:rsidR="00975772" w:rsidRDefault="00975772" w:rsidP="001A1130">
      <w:pPr>
        <w:spacing w:after="120"/>
        <w:jc w:val="right"/>
        <w:rPr>
          <w:rFonts w:ascii="Times New Roman" w:hAnsi="Times New Roman" w:cs="Times New Roman"/>
          <w:b/>
          <w:sz w:val="28"/>
        </w:rPr>
      </w:pPr>
    </w:p>
    <w:p w:rsidR="00DE7F15" w:rsidRDefault="007D0DAC" w:rsidP="001A1130">
      <w:pPr>
        <w:spacing w:after="120"/>
        <w:jc w:val="center"/>
        <w:rPr>
          <w:rFonts w:ascii="Times New Roman" w:eastAsia="Times New Roman" w:hAnsi="Times New Roman" w:cs="Times New Roman"/>
          <w:b/>
          <w:bCs/>
          <w:sz w:val="28"/>
          <w:szCs w:val="28"/>
          <w:lang w:eastAsia="ru-RU"/>
        </w:rPr>
      </w:pPr>
      <w:r w:rsidRPr="007D0DAC">
        <w:rPr>
          <w:rFonts w:ascii="Times New Roman" w:eastAsia="Times New Roman" w:hAnsi="Times New Roman" w:cs="Times New Roman"/>
          <w:b/>
          <w:bCs/>
          <w:sz w:val="28"/>
          <w:szCs w:val="28"/>
          <w:lang w:eastAsia="ru-RU"/>
        </w:rPr>
        <w:t>Как воспользоваться правом на «дачную амнистию»?</w:t>
      </w:r>
      <w:r w:rsidR="0005657E">
        <w:rPr>
          <w:rFonts w:ascii="Times New Roman" w:eastAsia="Times New Roman" w:hAnsi="Times New Roman" w:cs="Times New Roman"/>
          <w:b/>
          <w:bCs/>
          <w:sz w:val="28"/>
          <w:szCs w:val="28"/>
          <w:lang w:eastAsia="ru-RU"/>
        </w:rPr>
        <w:br/>
      </w:r>
    </w:p>
    <w:p w:rsidR="007D0DAC" w:rsidRPr="007D0DAC" w:rsidRDefault="007D0DAC" w:rsidP="007D0DAC">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 xml:space="preserve">Более 45 тысяч </w:t>
      </w:r>
      <w:r w:rsidRPr="007D0DAC">
        <w:rPr>
          <w:rFonts w:ascii="Times New Roman" w:hAnsi="Times New Roman" w:cs="Times New Roman"/>
          <w:bCs/>
          <w:sz w:val="28"/>
        </w:rPr>
        <w:t>земельных участков,</w:t>
      </w:r>
      <w:r>
        <w:rPr>
          <w:rFonts w:ascii="Times New Roman" w:hAnsi="Times New Roman" w:cs="Times New Roman"/>
          <w:b/>
          <w:bCs/>
          <w:sz w:val="28"/>
        </w:rPr>
        <w:t xml:space="preserve"> свыше 38 тысяч </w:t>
      </w:r>
      <w:r>
        <w:rPr>
          <w:rFonts w:ascii="Times New Roman" w:hAnsi="Times New Roman" w:cs="Times New Roman"/>
          <w:bCs/>
          <w:sz w:val="28"/>
        </w:rPr>
        <w:t xml:space="preserve">жилых домов и </w:t>
      </w:r>
      <w:r>
        <w:rPr>
          <w:rFonts w:ascii="Times New Roman" w:hAnsi="Times New Roman" w:cs="Times New Roman"/>
          <w:b/>
          <w:bCs/>
          <w:sz w:val="28"/>
        </w:rPr>
        <w:t>более 3 </w:t>
      </w:r>
      <w:r w:rsidRPr="007D0DAC">
        <w:rPr>
          <w:rFonts w:ascii="Times New Roman" w:hAnsi="Times New Roman" w:cs="Times New Roman"/>
          <w:b/>
          <w:bCs/>
          <w:sz w:val="28"/>
        </w:rPr>
        <w:t>тысяч</w:t>
      </w:r>
      <w:r>
        <w:rPr>
          <w:rFonts w:ascii="Times New Roman" w:hAnsi="Times New Roman" w:cs="Times New Roman"/>
          <w:bCs/>
          <w:sz w:val="28"/>
        </w:rPr>
        <w:t xml:space="preserve"> </w:t>
      </w:r>
      <w:r w:rsidRPr="007D0DAC">
        <w:rPr>
          <w:rFonts w:ascii="Times New Roman" w:hAnsi="Times New Roman" w:cs="Times New Roman"/>
          <w:bCs/>
          <w:sz w:val="28"/>
        </w:rPr>
        <w:t xml:space="preserve">садовых домов зарегистрированы </w:t>
      </w:r>
      <w:proofErr w:type="spellStart"/>
      <w:r w:rsidRPr="007D0DAC">
        <w:rPr>
          <w:rFonts w:ascii="Times New Roman" w:hAnsi="Times New Roman" w:cs="Times New Roman"/>
          <w:bCs/>
          <w:sz w:val="28"/>
        </w:rPr>
        <w:t>Росреестром</w:t>
      </w:r>
      <w:proofErr w:type="spellEnd"/>
      <w:r w:rsidRPr="007D0DAC">
        <w:rPr>
          <w:rFonts w:ascii="Times New Roman" w:hAnsi="Times New Roman" w:cs="Times New Roman"/>
          <w:bCs/>
          <w:sz w:val="28"/>
        </w:rPr>
        <w:t xml:space="preserve"> в первом квартале 2022 года в рамках «дачной амнистии».</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Всего за прошлый год по упрощенной си</w:t>
      </w:r>
      <w:r>
        <w:rPr>
          <w:rFonts w:ascii="Times New Roman" w:hAnsi="Times New Roman" w:cs="Times New Roman"/>
          <w:bCs/>
          <w:sz w:val="28"/>
        </w:rPr>
        <w:t xml:space="preserve">стеме в собственность оформлено </w:t>
      </w:r>
      <w:r>
        <w:rPr>
          <w:rFonts w:ascii="Times New Roman" w:hAnsi="Times New Roman" w:cs="Times New Roman"/>
          <w:b/>
          <w:bCs/>
          <w:sz w:val="28"/>
        </w:rPr>
        <w:t>более 159 </w:t>
      </w:r>
      <w:r w:rsidRPr="007D0DAC">
        <w:rPr>
          <w:rFonts w:ascii="Times New Roman" w:hAnsi="Times New Roman" w:cs="Times New Roman"/>
          <w:b/>
          <w:bCs/>
          <w:sz w:val="28"/>
        </w:rPr>
        <w:t>тысяч</w:t>
      </w:r>
      <w:r>
        <w:rPr>
          <w:rFonts w:ascii="Times New Roman" w:hAnsi="Times New Roman" w:cs="Times New Roman"/>
          <w:bCs/>
          <w:sz w:val="28"/>
        </w:rPr>
        <w:t xml:space="preserve"> земельных участков, </w:t>
      </w:r>
      <w:r>
        <w:rPr>
          <w:rFonts w:ascii="Times New Roman" w:hAnsi="Times New Roman" w:cs="Times New Roman"/>
          <w:b/>
          <w:bCs/>
          <w:sz w:val="28"/>
        </w:rPr>
        <w:t xml:space="preserve">почти 130 тысяч </w:t>
      </w:r>
      <w:r>
        <w:rPr>
          <w:rFonts w:ascii="Times New Roman" w:hAnsi="Times New Roman" w:cs="Times New Roman"/>
          <w:bCs/>
          <w:sz w:val="28"/>
        </w:rPr>
        <w:t xml:space="preserve">жилых домов и </w:t>
      </w:r>
      <w:r>
        <w:rPr>
          <w:rFonts w:ascii="Times New Roman" w:hAnsi="Times New Roman" w:cs="Times New Roman"/>
          <w:b/>
          <w:bCs/>
          <w:sz w:val="28"/>
        </w:rPr>
        <w:t>почти 15 </w:t>
      </w:r>
      <w:r w:rsidRPr="007D0DAC">
        <w:rPr>
          <w:rFonts w:ascii="Times New Roman" w:hAnsi="Times New Roman" w:cs="Times New Roman"/>
          <w:b/>
          <w:bCs/>
          <w:sz w:val="28"/>
        </w:rPr>
        <w:t>тысяч</w:t>
      </w:r>
      <w:r>
        <w:rPr>
          <w:rFonts w:ascii="Times New Roman" w:hAnsi="Times New Roman" w:cs="Times New Roman"/>
          <w:bCs/>
          <w:sz w:val="28"/>
        </w:rPr>
        <w:t xml:space="preserve"> </w:t>
      </w:r>
      <w:r w:rsidRPr="007D0DAC">
        <w:rPr>
          <w:rFonts w:ascii="Times New Roman" w:hAnsi="Times New Roman" w:cs="Times New Roman"/>
          <w:bCs/>
          <w:sz w:val="28"/>
        </w:rPr>
        <w:t>садовых домов.</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Какие объекты подпадают под действие «дачной амнистии» и как оформить на них права – в материале Росреестра.</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Что дает собственникам «дачная амнистия»?</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Действующие нормы законодательства позволяют в упрощенном порядке оформить права на определенные земельные участки и отдельные виды зданий, в том числе жилые и садовые дома. Такой порядок не требует наличия уведомлений о планируемом строительстве (реконструкции) таких объектов, об окончании их строительства (реконструкции).</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Каков срок действия «дачной амнистии»?</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«Дачная амнистия» действует в России с 1 сентября 2006 года и несколько раз продлевалась. В настоящее время срок «дачной амнистии» установлен до 1 марта 2026 года. Однако с 1 сентября 2022 года ее срок будет продлен до 1 марта 2031 года в рамках так называемой «да</w:t>
      </w:r>
      <w:r>
        <w:rPr>
          <w:rFonts w:ascii="Times New Roman" w:hAnsi="Times New Roman" w:cs="Times New Roman"/>
          <w:bCs/>
          <w:sz w:val="28"/>
        </w:rPr>
        <w:t xml:space="preserve">чной амнистии 2.0» (Федеральный </w:t>
      </w:r>
      <w:hyperlink r:id="rId8" w:history="1">
        <w:r w:rsidRPr="007D0DAC">
          <w:rPr>
            <w:rStyle w:val="ab"/>
            <w:rFonts w:ascii="Times New Roman" w:hAnsi="Times New Roman" w:cs="Times New Roman"/>
            <w:bCs/>
            <w:sz w:val="28"/>
          </w:rPr>
          <w:t>закон</w:t>
        </w:r>
      </w:hyperlink>
      <w:r>
        <w:rPr>
          <w:rFonts w:ascii="Times New Roman" w:hAnsi="Times New Roman" w:cs="Times New Roman"/>
          <w:bCs/>
          <w:sz w:val="28"/>
        </w:rPr>
        <w:t xml:space="preserve"> </w:t>
      </w:r>
      <w:r w:rsidRPr="007D0DAC">
        <w:rPr>
          <w:rFonts w:ascii="Times New Roman" w:hAnsi="Times New Roman" w:cs="Times New Roman"/>
          <w:bCs/>
          <w:sz w:val="28"/>
        </w:rPr>
        <w:t>от 30 декабря 2021 года № 478-ФЗ).</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lastRenderedPageBreak/>
        <w:t>Какие объекты могут быть зарегистрированы в упрощенном порядке?</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По «дачной амнистии» можно оформить жилые и садовые дома, расположенные на земельных участках, предоставленных для садоводства,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своей деятельности.</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Кроме того, указанные жилые дома должны соответствовать параметрам объекта индивидуального жилищного строительства (ИЖС), т.е. должны:</w:t>
      </w:r>
    </w:p>
    <w:p w:rsidR="007D0DAC" w:rsidRPr="007D0DAC" w:rsidRDefault="007D0DAC" w:rsidP="007D0DAC">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Cs/>
          <w:sz w:val="28"/>
        </w:rPr>
        <w:t>быть не более 20 метров высотой;</w:t>
      </w:r>
    </w:p>
    <w:p w:rsidR="007D0DAC" w:rsidRPr="007D0DAC" w:rsidRDefault="007D0DAC" w:rsidP="007D0DAC">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Cs/>
          <w:sz w:val="28"/>
        </w:rPr>
        <w:t>иметь не более трёх надземных этажей;</w:t>
      </w:r>
    </w:p>
    <w:p w:rsidR="007D0DAC" w:rsidRPr="007D0DAC" w:rsidRDefault="007D0DAC" w:rsidP="007D0DAC">
      <w:pPr>
        <w:numPr>
          <w:ilvl w:val="0"/>
          <w:numId w:val="3"/>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Cs/>
          <w:sz w:val="28"/>
        </w:rPr>
        <w:t>состоять из комнат и помещений вспомогательного использования, предназначенных для удовлетворения гражданами бытовых и иных нужд, связанных с их проживанием в соответствующем здании.</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Какие необходимы документы?</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Для оформления прав на объект капитального строительства в рамках «дачной амнистии» необходимо представить в орган регистрации прав следующие документы:</w:t>
      </w:r>
    </w:p>
    <w:p w:rsidR="007D0DAC" w:rsidRPr="007D0DAC" w:rsidRDefault="007D0DAC" w:rsidP="007D0DAC">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hyperlink r:id="rId9" w:history="1">
        <w:r w:rsidRPr="007D0DAC">
          <w:rPr>
            <w:rStyle w:val="ab"/>
            <w:rFonts w:ascii="Times New Roman" w:hAnsi="Times New Roman" w:cs="Times New Roman"/>
            <w:b/>
            <w:bCs/>
            <w:sz w:val="28"/>
          </w:rPr>
          <w:t>заявление</w:t>
        </w:r>
      </w:hyperlink>
      <w:r>
        <w:rPr>
          <w:rFonts w:ascii="Times New Roman" w:hAnsi="Times New Roman" w:cs="Times New Roman"/>
          <w:b/>
          <w:bCs/>
          <w:sz w:val="28"/>
        </w:rPr>
        <w:t xml:space="preserve"> </w:t>
      </w:r>
      <w:r w:rsidRPr="007D0DAC">
        <w:rPr>
          <w:rFonts w:ascii="Times New Roman" w:hAnsi="Times New Roman" w:cs="Times New Roman"/>
          <w:b/>
          <w:bCs/>
          <w:sz w:val="28"/>
        </w:rPr>
        <w:t>о государственном кадастровом учете и (или) государственной регистрации прав;</w:t>
      </w:r>
    </w:p>
    <w:p w:rsidR="007D0DAC" w:rsidRPr="007D0DAC" w:rsidRDefault="007D0DAC" w:rsidP="007D0DAC">
      <w:pPr>
        <w:numPr>
          <w:ilvl w:val="0"/>
          <w:numId w:val="4"/>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
          <w:bCs/>
          <w:sz w:val="28"/>
        </w:rPr>
        <w:t>технический план.</w:t>
      </w:r>
      <w:r w:rsidR="00B54A1C">
        <w:rPr>
          <w:rFonts w:ascii="Times New Roman" w:hAnsi="Times New Roman" w:cs="Times New Roman"/>
          <w:bCs/>
          <w:sz w:val="28"/>
        </w:rPr>
        <w:t xml:space="preserve"> </w:t>
      </w:r>
      <w:r w:rsidRPr="007D0DAC">
        <w:rPr>
          <w:rFonts w:ascii="Times New Roman" w:hAnsi="Times New Roman" w:cs="Times New Roman"/>
          <w:bCs/>
          <w:sz w:val="28"/>
        </w:rPr>
        <w:t>Он составляется кадастровым инженером. Сведения в техническом</w:t>
      </w:r>
      <w:r>
        <w:rPr>
          <w:rFonts w:ascii="Times New Roman" w:hAnsi="Times New Roman" w:cs="Times New Roman"/>
          <w:bCs/>
          <w:sz w:val="28"/>
        </w:rPr>
        <w:t xml:space="preserve"> плане указываются на основании </w:t>
      </w:r>
      <w:hyperlink r:id="rId10" w:history="1">
        <w:r w:rsidRPr="007D0DAC">
          <w:rPr>
            <w:rStyle w:val="ab"/>
            <w:rFonts w:ascii="Times New Roman" w:hAnsi="Times New Roman" w:cs="Times New Roman"/>
            <w:bCs/>
            <w:sz w:val="28"/>
          </w:rPr>
          <w:t>декларации</w:t>
        </w:r>
      </w:hyperlink>
      <w:r>
        <w:rPr>
          <w:rFonts w:ascii="Times New Roman" w:hAnsi="Times New Roman" w:cs="Times New Roman"/>
          <w:bCs/>
          <w:sz w:val="28"/>
        </w:rPr>
        <w:t xml:space="preserve"> </w:t>
      </w:r>
      <w:r w:rsidRPr="007D0DAC">
        <w:rPr>
          <w:rFonts w:ascii="Times New Roman" w:hAnsi="Times New Roman" w:cs="Times New Roman"/>
          <w:bCs/>
          <w:sz w:val="28"/>
        </w:rPr>
        <w:t>об объекте недвижимости, составленной и заверенной собственником земельного участка, на котором расположен соответствующий объект недвижимости.</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Важно!</w:t>
      </w:r>
      <w:r>
        <w:rPr>
          <w:rFonts w:ascii="Times New Roman" w:hAnsi="Times New Roman" w:cs="Times New Roman"/>
          <w:bCs/>
          <w:sz w:val="28"/>
        </w:rPr>
        <w:t xml:space="preserve"> </w:t>
      </w:r>
      <w:r w:rsidRPr="007D0DAC">
        <w:rPr>
          <w:rFonts w:ascii="Times New Roman" w:hAnsi="Times New Roman" w:cs="Times New Roman"/>
          <w:bCs/>
          <w:sz w:val="28"/>
        </w:rPr>
        <w:t>Перед заключением договора на выполнение кадастровых работ рекомендуем проверить:</w:t>
      </w:r>
    </w:p>
    <w:p w:rsidR="007D0DAC" w:rsidRPr="007D0DAC" w:rsidRDefault="007D0DAC" w:rsidP="007D0DAC">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
          <w:bCs/>
          <w:sz w:val="28"/>
        </w:rPr>
        <w:t>сведения о кадастровом инженере</w:t>
      </w:r>
      <w:r>
        <w:rPr>
          <w:rFonts w:ascii="Times New Roman" w:hAnsi="Times New Roman" w:cs="Times New Roman"/>
          <w:bCs/>
          <w:sz w:val="28"/>
        </w:rPr>
        <w:t xml:space="preserve"> в </w:t>
      </w:r>
      <w:hyperlink r:id="rId11" w:history="1">
        <w:r w:rsidRPr="007D0DAC">
          <w:rPr>
            <w:rStyle w:val="ab"/>
            <w:rFonts w:ascii="Times New Roman" w:hAnsi="Times New Roman" w:cs="Times New Roman"/>
            <w:bCs/>
            <w:sz w:val="28"/>
          </w:rPr>
          <w:t>государственном реестре кадастровых инженеров</w:t>
        </w:r>
      </w:hyperlink>
      <w:r w:rsidRPr="007D0DAC">
        <w:rPr>
          <w:rFonts w:ascii="Times New Roman" w:hAnsi="Times New Roman" w:cs="Times New Roman"/>
          <w:bCs/>
          <w:sz w:val="28"/>
        </w:rPr>
        <w:t>, размещенном на официальном сайте Росреестра;</w:t>
      </w:r>
    </w:p>
    <w:p w:rsidR="007D0DAC" w:rsidRPr="007D0DAC" w:rsidRDefault="007D0DAC" w:rsidP="007D0DAC">
      <w:pPr>
        <w:numPr>
          <w:ilvl w:val="0"/>
          <w:numId w:val="5"/>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
          <w:bCs/>
          <w:sz w:val="28"/>
        </w:rPr>
        <w:lastRenderedPageBreak/>
        <w:t>правоустанавливающий документ на земельный участок</w:t>
      </w:r>
      <w:r w:rsidRPr="007D0DAC">
        <w:rPr>
          <w:rFonts w:ascii="Times New Roman" w:hAnsi="Times New Roman" w:cs="Times New Roman"/>
          <w:bCs/>
          <w:sz w:val="28"/>
        </w:rPr>
        <w:t>. К ним относятся договоры дарения, купли-продажи, мены, свидетельства о праве наследство, решения судов о признании права собственности на земельный участок, акты органов государственной власти или местного самоуправления (постановления о предоставлении участка).</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Важно!</w:t>
      </w:r>
      <w:r>
        <w:rPr>
          <w:rFonts w:ascii="Times New Roman" w:hAnsi="Times New Roman" w:cs="Times New Roman"/>
          <w:bCs/>
          <w:sz w:val="28"/>
        </w:rPr>
        <w:t xml:space="preserve"> </w:t>
      </w:r>
      <w:r w:rsidRPr="007D0DAC">
        <w:rPr>
          <w:rFonts w:ascii="Times New Roman" w:hAnsi="Times New Roman" w:cs="Times New Roman"/>
          <w:bCs/>
          <w:sz w:val="28"/>
        </w:rPr>
        <w:t>В случае, если право на земельный участок зарегистрировано в ЕГРН, документ представлять не требуется.</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Куда подавать документы для регистрации прав?</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Подготовленный пакет документов можно представить следующими способами:</w:t>
      </w:r>
    </w:p>
    <w:p w:rsidR="007D0DAC" w:rsidRPr="007D0DAC" w:rsidRDefault="007D0DAC" w:rsidP="007D0DAC">
      <w:pPr>
        <w:numPr>
          <w:ilvl w:val="0"/>
          <w:numId w:val="6"/>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Cs/>
          <w:sz w:val="28"/>
        </w:rPr>
        <w:t>в бумажном виде при личном визите в МФЦ;</w:t>
      </w:r>
    </w:p>
    <w:p w:rsidR="007D0DAC" w:rsidRPr="007D0DAC" w:rsidRDefault="007D0DAC" w:rsidP="007D0DAC">
      <w:pPr>
        <w:numPr>
          <w:ilvl w:val="0"/>
          <w:numId w:val="6"/>
        </w:numPr>
        <w:tabs>
          <w:tab w:val="clear" w:pos="720"/>
          <w:tab w:val="num" w:pos="0"/>
        </w:tabs>
        <w:spacing w:after="120" w:line="360" w:lineRule="auto"/>
        <w:ind w:left="0" w:firstLine="709"/>
        <w:jc w:val="both"/>
        <w:rPr>
          <w:rFonts w:ascii="Times New Roman" w:hAnsi="Times New Roman" w:cs="Times New Roman"/>
          <w:bCs/>
          <w:sz w:val="28"/>
        </w:rPr>
      </w:pPr>
      <w:r w:rsidRPr="007D0DAC">
        <w:rPr>
          <w:rFonts w:ascii="Times New Roman" w:hAnsi="Times New Roman" w:cs="Times New Roman"/>
          <w:bCs/>
          <w:sz w:val="28"/>
        </w:rPr>
        <w:t>в электронном виде (при наличии сертификата усиленной квалифицированной электронной подписи) чере</w:t>
      </w:r>
      <w:r>
        <w:rPr>
          <w:rFonts w:ascii="Times New Roman" w:hAnsi="Times New Roman" w:cs="Times New Roman"/>
          <w:bCs/>
          <w:sz w:val="28"/>
        </w:rPr>
        <w:t xml:space="preserve">з личный кабинет на официальном </w:t>
      </w:r>
      <w:hyperlink r:id="rId12" w:anchor="/" w:history="1">
        <w:r w:rsidRPr="007D0DAC">
          <w:rPr>
            <w:rStyle w:val="ab"/>
            <w:rFonts w:ascii="Times New Roman" w:hAnsi="Times New Roman" w:cs="Times New Roman"/>
            <w:bCs/>
            <w:sz w:val="28"/>
          </w:rPr>
          <w:t>сайте</w:t>
        </w:r>
      </w:hyperlink>
      <w:r>
        <w:rPr>
          <w:rFonts w:ascii="Times New Roman" w:hAnsi="Times New Roman" w:cs="Times New Roman"/>
          <w:bCs/>
          <w:sz w:val="28"/>
        </w:rPr>
        <w:t xml:space="preserve"> </w:t>
      </w:r>
      <w:r w:rsidRPr="007D0DAC">
        <w:rPr>
          <w:rFonts w:ascii="Times New Roman" w:hAnsi="Times New Roman" w:cs="Times New Roman"/>
          <w:bCs/>
          <w:sz w:val="28"/>
        </w:rPr>
        <w:t>Росреестра.</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Обращаем внимание!</w:t>
      </w:r>
      <w:r>
        <w:rPr>
          <w:rFonts w:ascii="Times New Roman" w:hAnsi="Times New Roman" w:cs="Times New Roman"/>
          <w:b/>
          <w:bCs/>
          <w:sz w:val="28"/>
        </w:rPr>
        <w:t xml:space="preserve"> </w:t>
      </w:r>
      <w:r w:rsidRPr="007D0DAC">
        <w:rPr>
          <w:rFonts w:ascii="Times New Roman" w:hAnsi="Times New Roman" w:cs="Times New Roman"/>
          <w:bCs/>
          <w:sz w:val="28"/>
        </w:rPr>
        <w:t>Государственная пошлина за государственную регистрацию права собственности составляет 350 рублей. При этом необходимо уточнить, что указанный размер пошлины применяется только при первичной регистрации прав на объект недвижимости (то есть, не распространяется на случаи регистрации права, например, по наследству, на основании какого-либо договора и т.п., когда размер пошлины за регистрацию права будет составлять 2000 рублей).</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Могут ли наследники воспользоваться «дачной амнистией»?</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Наследники могут воспользоваться упрощенным порядком оформления жилого или садового дома, расположенного на соответствующем земельном участке, если право наследодателя на такой дом не было зарегистрировано в установленном порядке.</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 xml:space="preserve">Для этого вместе с пакетом необходимых документов нужно представить в орган регистрации прав свидетельство о праве на наследство на земельный участок, на котором расположен такой дом. В этом случае государственная регистрация права </w:t>
      </w:r>
      <w:r w:rsidRPr="007D0DAC">
        <w:rPr>
          <w:rFonts w:ascii="Times New Roman" w:hAnsi="Times New Roman" w:cs="Times New Roman"/>
          <w:bCs/>
          <w:sz w:val="28"/>
        </w:rPr>
        <w:lastRenderedPageBreak/>
        <w:t>собственности наследника на земельный участок и расположенный на нем жилой дом (а также постановка на кадастровый учет этого дома при наличии соответствующих заявления и документов, если дом не учтен в ЕГРН) осуществляются одновременно.</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Как закон регламентирует оформление объектов ИЖС и садовых домов, строительство которых было начато до 4 августа 2018 года?</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«Дачная амнистия» на пять лет продлевает возможность непредставления уведомлений о планируемом строительстве (реконструкции) и об окончании строительства (реконструкции). Ее действие распространяется также на те случаи, когда строительство было начато до 4 </w:t>
      </w:r>
      <w:bookmarkStart w:id="0" w:name="_GoBack"/>
      <w:bookmarkEnd w:id="0"/>
      <w:r w:rsidRPr="007D0DAC">
        <w:rPr>
          <w:rFonts w:ascii="Times New Roman" w:hAnsi="Times New Roman" w:cs="Times New Roman"/>
          <w:bCs/>
          <w:sz w:val="28"/>
        </w:rPr>
        <w:t>августа 2018 года без получения соответствующего разрешения. При этом для кадастрового учета и (или) регистрации права потребуется стандартный пакет документов.</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
          <w:bCs/>
          <w:sz w:val="28"/>
        </w:rPr>
        <w:t>Можно ли оформить дом в уведомительном порядке?</w:t>
      </w:r>
    </w:p>
    <w:p w:rsidR="007D0DAC" w:rsidRPr="007D0DAC"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Действующее законодательство позволяет по желанию собственника оформить жилой или садовый дом, построенный как до, так и после 4 августа 2018 года, в уведомительном порядке.</w:t>
      </w:r>
    </w:p>
    <w:p w:rsidR="00DE7F15" w:rsidRDefault="007D0DAC" w:rsidP="007D0DAC">
      <w:pPr>
        <w:spacing w:after="120" w:line="360" w:lineRule="auto"/>
        <w:ind w:firstLine="709"/>
        <w:jc w:val="both"/>
        <w:rPr>
          <w:rFonts w:ascii="Times New Roman" w:hAnsi="Times New Roman" w:cs="Times New Roman"/>
          <w:bCs/>
          <w:sz w:val="28"/>
        </w:rPr>
      </w:pPr>
      <w:r w:rsidRPr="007D0DAC">
        <w:rPr>
          <w:rFonts w:ascii="Times New Roman" w:hAnsi="Times New Roman" w:cs="Times New Roman"/>
          <w:bCs/>
          <w:sz w:val="28"/>
        </w:rPr>
        <w:t>Для этого необходимо уведомить орган местного самоуправления о планируемом строительстве (реконструкции) и о его завершении, соответствующее заявление в этом случае в орган регистрации прав обязан направит</w:t>
      </w:r>
      <w:r>
        <w:rPr>
          <w:rFonts w:ascii="Times New Roman" w:hAnsi="Times New Roman" w:cs="Times New Roman"/>
          <w:bCs/>
          <w:sz w:val="28"/>
        </w:rPr>
        <w:t>ь орган местного самоуправления</w:t>
      </w:r>
      <w:r w:rsidR="0005657E">
        <w:rPr>
          <w:rFonts w:ascii="Times New Roman" w:hAnsi="Times New Roman" w:cs="Times New Roman"/>
          <w:bCs/>
          <w:sz w:val="28"/>
        </w:rPr>
        <w:t>.</w:t>
      </w:r>
    </w:p>
    <w:p w:rsidR="00DE7F15" w:rsidRDefault="0005657E">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rsidR="00DE7F15" w:rsidRDefault="0005657E">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rsidR="00DE7F15" w:rsidRDefault="00DE7F15">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rsidR="00550419">
        <w:trPr>
          <w:jc w:val="center"/>
        </w:trPr>
        <w:tc>
          <w:tcPr>
            <w:tcW w:w="775" w:type="dxa"/>
            <w:hideMark/>
          </w:tcPr>
          <w:p w:rsidR="00550419" w:rsidRDefault="00550419">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14:anchorId="663AB2DE" wp14:editId="74ECEE53">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550419" w:rsidRDefault="009D7314">
            <w:pPr>
              <w:spacing w:after="0" w:line="240" w:lineRule="auto"/>
              <w:contextualSpacing/>
              <w:rPr>
                <w:rFonts w:ascii="Segoe UI" w:eastAsia="Times New Roman" w:hAnsi="Segoe UI" w:cs="Segoe UI"/>
                <w:color w:val="0000FF"/>
                <w:sz w:val="24"/>
                <w:szCs w:val="28"/>
                <w:u w:val="single"/>
                <w:lang w:eastAsia="ru-RU"/>
              </w:rPr>
            </w:pPr>
            <w:hyperlink r:id="rId14" w:history="1">
              <w:r w:rsidR="00550419">
                <w:rPr>
                  <w:rFonts w:ascii="Segoe UI" w:eastAsia="Times New Roman" w:hAnsi="Segoe UI" w:cs="Segoe UI"/>
                  <w:color w:val="0563C1" w:themeColor="hyperlink"/>
                  <w:sz w:val="24"/>
                  <w:szCs w:val="28"/>
                  <w:u w:val="single"/>
                  <w:lang w:eastAsia="ru-RU"/>
                </w:rPr>
                <w:t>press23@23.kadastr.ru</w:t>
              </w:r>
            </w:hyperlink>
          </w:p>
        </w:tc>
        <w:tc>
          <w:tcPr>
            <w:tcW w:w="672" w:type="dxa"/>
            <w:hideMark/>
          </w:tcPr>
          <w:p w:rsidR="00550419" w:rsidRDefault="00550419">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14:anchorId="7AA60756" wp14:editId="4E7454D2">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550419" w:rsidRDefault="00550419">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rsidR="00DE7F15" w:rsidRDefault="00DE7F15">
      <w:pPr>
        <w:spacing w:after="120" w:line="360" w:lineRule="auto"/>
        <w:ind w:firstLine="709"/>
        <w:jc w:val="both"/>
        <w:rPr>
          <w:sz w:val="2"/>
          <w:szCs w:val="2"/>
        </w:rPr>
      </w:pPr>
    </w:p>
    <w:sectPr w:rsidR="00DE7F15">
      <w:footerReference w:type="default" r:id="rId16"/>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14" w:rsidRDefault="009D7314">
      <w:pPr>
        <w:spacing w:after="0" w:line="240" w:lineRule="auto"/>
      </w:pPr>
      <w:r>
        <w:separator/>
      </w:r>
    </w:p>
  </w:endnote>
  <w:endnote w:type="continuationSeparator" w:id="0">
    <w:p w:rsidR="009D7314" w:rsidRDefault="009D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rsidR="00DE7F15" w:rsidRDefault="0005657E">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14" w:rsidRDefault="009D7314">
      <w:pPr>
        <w:spacing w:after="0" w:line="240" w:lineRule="auto"/>
      </w:pPr>
      <w:r>
        <w:separator/>
      </w:r>
    </w:p>
  </w:footnote>
  <w:footnote w:type="continuationSeparator" w:id="0">
    <w:p w:rsidR="009D7314" w:rsidRDefault="009D7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17B"/>
    <w:multiLevelType w:val="multilevel"/>
    <w:tmpl w:val="035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5172070"/>
    <w:multiLevelType w:val="multilevel"/>
    <w:tmpl w:val="3A8C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4556B"/>
    <w:multiLevelType w:val="multilevel"/>
    <w:tmpl w:val="741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C0E32"/>
    <w:multiLevelType w:val="multilevel"/>
    <w:tmpl w:val="7DD8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15"/>
    <w:rsid w:val="0005657E"/>
    <w:rsid w:val="001A1130"/>
    <w:rsid w:val="003F13A1"/>
    <w:rsid w:val="00550419"/>
    <w:rsid w:val="007D0DAC"/>
    <w:rsid w:val="00975772"/>
    <w:rsid w:val="009D7314"/>
    <w:rsid w:val="00B54A1C"/>
    <w:rsid w:val="00DE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56027"/>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5504">
      <w:bodyDiv w:val="1"/>
      <w:marLeft w:val="0"/>
      <w:marRight w:val="0"/>
      <w:marTop w:val="0"/>
      <w:marBottom w:val="0"/>
      <w:divBdr>
        <w:top w:val="none" w:sz="0" w:space="0" w:color="auto"/>
        <w:left w:val="none" w:sz="0" w:space="0" w:color="auto"/>
        <w:bottom w:val="none" w:sz="0" w:space="0" w:color="auto"/>
        <w:right w:val="none" w:sz="0" w:space="0" w:color="auto"/>
      </w:divBdr>
    </w:div>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260217904">
      <w:bodyDiv w:val="1"/>
      <w:marLeft w:val="0"/>
      <w:marRight w:val="0"/>
      <w:marTop w:val="0"/>
      <w:marBottom w:val="0"/>
      <w:divBdr>
        <w:top w:val="none" w:sz="0" w:space="0" w:color="auto"/>
        <w:left w:val="none" w:sz="0" w:space="0" w:color="auto"/>
        <w:bottom w:val="none" w:sz="0" w:space="0" w:color="auto"/>
        <w:right w:val="none" w:sz="0" w:space="0" w:color="auto"/>
      </w:divBdr>
    </w:div>
    <w:div w:id="1306277893">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468/"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osreestr.gov.ru/wps/portal/p/cc_present/reg_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gov.ru/wps/portal/p/cc_ib_portal_services/cc_ib_sro_reestrs"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rosreestr.gov.ru/activity/okazanie-gosudarstvennykh-uslug/kadastrovyy-uchet-i-ili-registratsiya-prav-/formaty-dokumentov/?" TargetMode="External"/><Relationship Id="rId4" Type="http://schemas.openxmlformats.org/officeDocument/2006/relationships/webSettings" Target="webSettings.xml"/><Relationship Id="rId9" Type="http://schemas.openxmlformats.org/officeDocument/2006/relationships/hyperlink" Target="https://rosreestr.gov.ru/activity/okazanie-gosudarstvennykh-uslug/kadastrovyy-uchet-i-ili-registratsiya-prav-/formaty-dokumentov/" TargetMode="External"/><Relationship Id="rId14" Type="http://schemas.openxmlformats.org/officeDocument/2006/relationships/hyperlink" Target="mailto:press23@23.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972</Words>
  <Characters>5544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30</cp:revision>
  <dcterms:created xsi:type="dcterms:W3CDTF">2021-07-30T12:29:00Z</dcterms:created>
  <dcterms:modified xsi:type="dcterms:W3CDTF">2022-05-11T06:25:00Z</dcterms:modified>
</cp:coreProperties>
</file>