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Краснодарском крае ведется активная работа по выявлению правообладателей объектов недвижимости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Краснодарском крае прошли совещания по вопросам реализации проекта по наполнению Единого государственного реестра недвижимости (ЕГРН) необходимыми сведениями, </w:t>
      </w:r>
      <w:r>
        <w:rPr>
          <w:rFonts w:ascii="Times New Roman" w:hAnsi="Times New Roman" w:cs="Times New Roman"/>
          <w:b/>
          <w:sz w:val="28"/>
        </w:rPr>
        <w:t>в том числе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подпроекта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по внесению в ЕГРН сведений об отсутствующих правообладателях.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настоящее время проводится реализация комплексного плана Росреестра по наполнению ЕГРН полными и точными сведениями. В рамках развития плана совместно с субъектами Российской Федерации утверждена «дорожная карта».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муниципальных образованиях Краснодарского края прошли совещания, на повестке которых были обсуждены вопросы наполнения ЕГРН сведениями о правообладателях объектов недвижимости, а также организация порядка представления заявлений и документов в орган регистрации прав от органов государственной власти и местного самоуправления в электронном виде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ходе рабочих встреч между представителями межмуниципальных отделов Управления Росреестра по Краснодарскому краю, </w:t>
      </w:r>
      <w:r>
        <w:rPr>
          <w:rFonts w:ascii="Times New Roman" w:hAnsi="Times New Roman" w:cs="Times New Roman"/>
          <w:bCs/>
          <w:sz w:val="28"/>
        </w:rPr>
        <w:t xml:space="preserve">администраций муниципальных образований и </w:t>
      </w:r>
      <w:r>
        <w:rPr>
          <w:rFonts w:ascii="Times New Roman" w:hAnsi="Times New Roman" w:cs="Times New Roman"/>
          <w:bCs/>
          <w:sz w:val="28"/>
        </w:rPr>
        <w:t xml:space="preserve">территориальных отделов Краевой Кадастровой палаты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 xml:space="preserve">были обсуждены вопросы взаимодействия ведомств и результаты работы по выявлению правообладателей, проведенной муниципалитетами. Администрации муниципальных образований и сельских поселений края ведут активную работу с представителями </w:t>
      </w:r>
      <w:proofErr w:type="spellStart"/>
      <w:r>
        <w:rPr>
          <w:rFonts w:ascii="Times New Roman" w:hAnsi="Times New Roman" w:cs="Times New Roman"/>
          <w:bCs/>
          <w:sz w:val="28"/>
        </w:rPr>
        <w:t>ЗАГСов</w:t>
      </w:r>
      <w:proofErr w:type="spellEnd"/>
      <w:r>
        <w:rPr>
          <w:rFonts w:ascii="Times New Roman" w:hAnsi="Times New Roman" w:cs="Times New Roman"/>
          <w:bCs/>
          <w:sz w:val="28"/>
        </w:rPr>
        <w:t>, Пенсионных фондов, налоговых инспекций и отделов по вопросам миграции МВД. Участие ведомств необходимо для уточнения сведений о собственниках объектов недвижимости, которые не внесены в ЕГРН.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Напоминаем, правообладатели могут самостоятельно подать заявление о государственной регистрации ранее возникшего права, заявить свои права на недвижимость, тем самым обеспечив государственную защиту и избежав риска внесения некорректных данных.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Для оформления прав на недвижимое имущество необходимо обратить в МФЦ с заявлением, паспортом и документом, подтверждающем право, либо ранее осуществленный государственный учет или государственную регистрацию права.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Подать документы на регистрации прав можно не выходя из дома. В рамках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выездного обслуживания</w:t>
        </w:r>
      </w:hyperlink>
      <w:r>
        <w:rPr>
          <w:rFonts w:ascii="Times New Roman" w:hAnsi="Times New Roman" w:cs="Times New Roman"/>
          <w:bCs/>
          <w:sz w:val="28"/>
        </w:rPr>
        <w:t xml:space="preserve"> специалисты Кадастровой палаты приедут в любое удобное для заявителя место и время. Заказать услугу можно по телефону 8 (861) 992-13-02, (доб. 2060 или 2061), по электронной почте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uslugi-pay@23.kadastr.ru</w:t>
        </w:r>
      </w:hyperlink>
      <w:r>
        <w:rPr>
          <w:rStyle w:val="ab"/>
          <w:rFonts w:ascii="Times New Roman" w:hAnsi="Times New Roman" w:cs="Times New Roman"/>
          <w:bCs/>
          <w:color w:val="000000" w:themeColor="text1"/>
          <w:sz w:val="28"/>
          <w:u w:val="none"/>
        </w:rPr>
        <w:t xml:space="preserve">, либо через онлайн сервис Кадастровой палаты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svo.kadastr.ru</w:t>
        </w:r>
      </w:hyperlink>
      <w:r>
        <w:rPr>
          <w:rStyle w:val="ab"/>
          <w:rFonts w:ascii="Times New Roman" w:hAnsi="Times New Roman" w:cs="Times New Roman"/>
          <w:bCs/>
          <w:color w:val="000000" w:themeColor="text1"/>
          <w:sz w:val="28"/>
          <w:u w:val="none"/>
        </w:rPr>
        <w:t>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6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services/vyezdnoe-obsluzhivanie/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s://svo.kadast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slugi-pay@23.kadastr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46</cp:revision>
  <dcterms:created xsi:type="dcterms:W3CDTF">2021-07-30T12:29:00Z</dcterms:created>
  <dcterms:modified xsi:type="dcterms:W3CDTF">2021-11-24T08:56:00Z</dcterms:modified>
</cp:coreProperties>
</file>