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86B9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F8B0D0D" w14:textId="77777777" w:rsidR="008C46A8" w:rsidRPr="00B66C68" w:rsidRDefault="008C46A8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8)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постановлению прокуратуры Кореновского района руководитель муниципального учреждения привлечен к административной ответственности за дробление единых закупок</w:t>
      </w:r>
    </w:p>
    <w:p w14:paraId="648054C8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по итогам проверки соблюдения законодательства о контрактной системе в сфере закупок выявила факт искусственного дробления муниципальных контрактов.</w:t>
      </w:r>
    </w:p>
    <w:p w14:paraId="2A4176AE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Так, Управлением капитального строительства без проведения конкурсных процедур заключено 10 контрактов на поставку детской площадки на сумму 4,9 млн руб. Из содержания контрактов следует, что они заключены в отношении одного вида товара – поставка детской игровой площадки. Данные сделки имеют фактическую направленность на достижение единой цели (поставка игровой площадки), заключены в один день, между одними и теми же лицами по единой форме.</w:t>
      </w:r>
    </w:p>
    <w:p w14:paraId="2C72B04D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Заключение контрактов в обход конкурентных процедур, повлекло за собой получение поставщиком доступа к поставке товара, без участия в какой-либо конкурентной борьбе, без подачи предложений о снижении цены договора, тем самым поставщик был поставлен в преимущественное положение с иными хозяйствующими субъектами, осуществляющими аналогичную деятельность.</w:t>
      </w:r>
    </w:p>
    <w:p w14:paraId="46E25190" w14:textId="77777777" w:rsidR="008C46A8" w:rsidRPr="00B66C6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результатам рассмотрения Краснодарским УФАС дела по ч. 2 ст. 7.29 КоАП РФ (несоблюдение требований законодательства о контрактной системе) и ему назначено наказание в виде штрафа 50 тыс. руб.</w:t>
      </w:r>
    </w:p>
    <w:p w14:paraId="735FE81C" w14:textId="77777777" w:rsidR="008C46A8" w:rsidRDefault="008C46A8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66C68">
        <w:rPr>
          <w:color w:val="000000"/>
          <w:sz w:val="28"/>
          <w:szCs w:val="28"/>
          <w:shd w:val="clear" w:color="auto" w:fill="FFFFFF"/>
        </w:rPr>
        <w:t>Постановление о назначении административного наказания вступило в законную силу.</w:t>
      </w:r>
    </w:p>
    <w:p w14:paraId="41588277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8F499F"/>
    <w:rsid w:val="00913EB5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2025-09-04T08:28:00Z</dcterms:modified>
</cp:coreProperties>
</file>