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734" w:rsidRPr="005D7734" w:rsidRDefault="005D7734">
      <w:pPr>
        <w:pStyle w:val="ConsPlusNormal"/>
        <w:jc w:val="both"/>
        <w:outlineLvl w:val="0"/>
        <w:rPr>
          <w:rFonts w:ascii="Times New Roman" w:hAnsi="Times New Roman" w:cs="Times New Roman"/>
          <w:color w:val="000000" w:themeColor="text1"/>
        </w:rPr>
      </w:pPr>
      <w:bookmarkStart w:id="0" w:name="_GoBack"/>
      <w:bookmarkEnd w:id="0"/>
    </w:p>
    <w:p w:rsidR="005D7734" w:rsidRPr="005D7734" w:rsidRDefault="005D7734">
      <w:pPr>
        <w:pStyle w:val="ConsPlusTitle"/>
        <w:jc w:val="center"/>
        <w:outlineLvl w:val="0"/>
        <w:rPr>
          <w:rFonts w:ascii="Times New Roman" w:hAnsi="Times New Roman" w:cs="Times New Roman"/>
          <w:color w:val="000000" w:themeColor="text1"/>
        </w:rPr>
      </w:pPr>
      <w:r w:rsidRPr="005D7734">
        <w:rPr>
          <w:rFonts w:ascii="Times New Roman" w:hAnsi="Times New Roman" w:cs="Times New Roman"/>
          <w:color w:val="000000" w:themeColor="text1"/>
        </w:rPr>
        <w:t>МИНИСТЕРСТВО ТРУДА И СОЦИАЛЬНОЙ ЗАЩИТЫ РОССИЙСКОЙ ФЕДЕРАЦИИ</w:t>
      </w:r>
    </w:p>
    <w:p w:rsidR="005D7734" w:rsidRPr="005D7734" w:rsidRDefault="005D7734">
      <w:pPr>
        <w:pStyle w:val="ConsPlusTitle"/>
        <w:jc w:val="center"/>
        <w:rPr>
          <w:rFonts w:ascii="Times New Roman" w:hAnsi="Times New Roman" w:cs="Times New Roman"/>
          <w:color w:val="000000" w:themeColor="text1"/>
        </w:rPr>
      </w:pPr>
    </w:p>
    <w:p w:rsidR="005D7734" w:rsidRPr="005D7734" w:rsidRDefault="005D7734">
      <w:pPr>
        <w:pStyle w:val="ConsPlusTitle"/>
        <w:jc w:val="center"/>
        <w:rPr>
          <w:rFonts w:ascii="Times New Roman" w:hAnsi="Times New Roman" w:cs="Times New Roman"/>
          <w:color w:val="000000" w:themeColor="text1"/>
        </w:rPr>
      </w:pPr>
      <w:r w:rsidRPr="005D7734">
        <w:rPr>
          <w:rFonts w:ascii="Times New Roman" w:hAnsi="Times New Roman" w:cs="Times New Roman"/>
          <w:color w:val="000000" w:themeColor="text1"/>
        </w:rPr>
        <w:t>МЕТОДИЧЕСКИЕ РЕКОМЕНДАЦИИ</w:t>
      </w:r>
    </w:p>
    <w:p w:rsidR="005D7734" w:rsidRPr="005D7734" w:rsidRDefault="005D7734">
      <w:pPr>
        <w:pStyle w:val="ConsPlusTitle"/>
        <w:jc w:val="center"/>
        <w:rPr>
          <w:rFonts w:ascii="Times New Roman" w:hAnsi="Times New Roman" w:cs="Times New Roman"/>
          <w:color w:val="000000" w:themeColor="text1"/>
        </w:rPr>
      </w:pPr>
      <w:r w:rsidRPr="005D7734">
        <w:rPr>
          <w:rFonts w:ascii="Times New Roman" w:hAnsi="Times New Roman" w:cs="Times New Roman"/>
          <w:color w:val="000000" w:themeColor="text1"/>
        </w:rPr>
        <w:t>ПО ВЫЯВЛЕНИЮ И МИНИМИЗАЦИИ КОРРУПЦИОННЫХ РИСКОВ</w:t>
      </w:r>
    </w:p>
    <w:p w:rsidR="005D7734" w:rsidRPr="005D7734" w:rsidRDefault="005D7734">
      <w:pPr>
        <w:pStyle w:val="ConsPlusTitle"/>
        <w:jc w:val="center"/>
        <w:rPr>
          <w:rFonts w:ascii="Times New Roman" w:hAnsi="Times New Roman" w:cs="Times New Roman"/>
          <w:color w:val="000000" w:themeColor="text1"/>
        </w:rPr>
      </w:pPr>
      <w:r w:rsidRPr="005D7734">
        <w:rPr>
          <w:rFonts w:ascii="Times New Roman" w:hAnsi="Times New Roman" w:cs="Times New Roman"/>
          <w:color w:val="000000" w:themeColor="text1"/>
        </w:rPr>
        <w:t>ПРИ ОСУЩЕСТВЛЕНИИ ЗАКУПОК ТОВАРОВ, РАБОТ, УСЛУГ</w:t>
      </w:r>
    </w:p>
    <w:p w:rsidR="005D7734" w:rsidRPr="005D7734" w:rsidRDefault="005D7734">
      <w:pPr>
        <w:pStyle w:val="ConsPlusTitle"/>
        <w:jc w:val="center"/>
        <w:rPr>
          <w:rFonts w:ascii="Times New Roman" w:hAnsi="Times New Roman" w:cs="Times New Roman"/>
          <w:color w:val="000000" w:themeColor="text1"/>
        </w:rPr>
      </w:pPr>
      <w:r w:rsidRPr="005D7734">
        <w:rPr>
          <w:rFonts w:ascii="Times New Roman" w:hAnsi="Times New Roman" w:cs="Times New Roman"/>
          <w:color w:val="000000" w:themeColor="text1"/>
        </w:rPr>
        <w:t>ДЛЯ ОБЕСПЕЧЕНИЯ ГОСУДАРСТВЕННЫХ ИЛИ МУНИЦИПАЛЬНЫХ НУЖД</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jc w:val="center"/>
        <w:outlineLvl w:val="1"/>
        <w:rPr>
          <w:rFonts w:ascii="Times New Roman" w:hAnsi="Times New Roman" w:cs="Times New Roman"/>
          <w:color w:val="000000" w:themeColor="text1"/>
        </w:rPr>
      </w:pPr>
      <w:r w:rsidRPr="005D7734">
        <w:rPr>
          <w:rFonts w:ascii="Times New Roman" w:hAnsi="Times New Roman" w:cs="Times New Roman"/>
          <w:color w:val="000000" w:themeColor="text1"/>
        </w:rPr>
        <w:t>1. Введение</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1.1. Настоящие Методические рекомендации подготовлены во исполнение </w:t>
      </w:r>
      <w:hyperlink r:id="rId4" w:history="1">
        <w:r w:rsidRPr="005D7734">
          <w:rPr>
            <w:rFonts w:ascii="Times New Roman" w:hAnsi="Times New Roman" w:cs="Times New Roman"/>
            <w:color w:val="000000" w:themeColor="text1"/>
          </w:rPr>
          <w:t>подпункта "б" пункта 16</w:t>
        </w:r>
      </w:hyperlink>
      <w:r w:rsidRPr="005D7734">
        <w:rPr>
          <w:rFonts w:ascii="Times New Roman" w:hAnsi="Times New Roman" w:cs="Times New Roman"/>
          <w:color w:val="000000" w:themeColor="text1"/>
        </w:rPr>
        <w:t xml:space="preserve"> Национального плана противодействия коррупции на 2018 - 2020 годы, утвержденного Указом Президента Российской Федерации от 29 июня 2018 г. N 378 "О Национальном плане противодействия коррупции на 2018 - 2020 годы", и направлены на оказание консультативной и методической помощи в проведении работы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осуществляемых в соответствии с Федеральным </w:t>
      </w:r>
      <w:hyperlink r:id="rId5" w:history="1">
        <w:r w:rsidRPr="005D7734">
          <w:rPr>
            <w:rFonts w:ascii="Times New Roman" w:hAnsi="Times New Roman" w:cs="Times New Roman"/>
            <w:color w:val="000000" w:themeColor="text1"/>
          </w:rPr>
          <w:t>законом</w:t>
        </w:r>
      </w:hyperlink>
      <w:r w:rsidRPr="005D7734">
        <w:rPr>
          <w:rFonts w:ascii="Times New Roman" w:hAnsi="Times New Roman" w:cs="Times New Roman"/>
          <w:color w:val="000000" w:themeColor="text1"/>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 "</w:t>
      </w:r>
      <w:proofErr w:type="spellStart"/>
      <w:r w:rsidRPr="005D7734">
        <w:rPr>
          <w:rFonts w:ascii="Times New Roman" w:hAnsi="Times New Roman" w:cs="Times New Roman"/>
          <w:color w:val="000000" w:themeColor="text1"/>
        </w:rPr>
        <w:t>Росатом</w:t>
      </w:r>
      <w:proofErr w:type="spellEnd"/>
      <w:r w:rsidRPr="005D7734">
        <w:rPr>
          <w:rFonts w:ascii="Times New Roman" w:hAnsi="Times New Roman" w:cs="Times New Roman"/>
          <w:color w:val="000000" w:themeColor="text1"/>
        </w:rPr>
        <w:t>", Государственной корпорацией по космической деятельности "</w:t>
      </w:r>
      <w:proofErr w:type="spellStart"/>
      <w:r w:rsidRPr="005D7734">
        <w:rPr>
          <w:rFonts w:ascii="Times New Roman" w:hAnsi="Times New Roman" w:cs="Times New Roman"/>
          <w:color w:val="000000" w:themeColor="text1"/>
        </w:rPr>
        <w:t>Роскосмос</w:t>
      </w:r>
      <w:proofErr w:type="spellEnd"/>
      <w:r w:rsidRPr="005D7734">
        <w:rPr>
          <w:rFonts w:ascii="Times New Roman" w:hAnsi="Times New Roman" w:cs="Times New Roman"/>
          <w:color w:val="000000" w:themeColor="text1"/>
        </w:rPr>
        <w:t xml:space="preserve">", органами управления государственных внебюджетных фондов и иными организациями (далее - орган (организация)), которые в соответствии с положениями </w:t>
      </w:r>
      <w:hyperlink r:id="rId6" w:history="1">
        <w:r w:rsidRPr="005D7734">
          <w:rPr>
            <w:rFonts w:ascii="Times New Roman" w:hAnsi="Times New Roman" w:cs="Times New Roman"/>
            <w:color w:val="000000" w:themeColor="text1"/>
          </w:rPr>
          <w:t>статьи 3</w:t>
        </w:r>
      </w:hyperlink>
      <w:r w:rsidRPr="005D7734">
        <w:rPr>
          <w:rFonts w:ascii="Times New Roman" w:hAnsi="Times New Roman" w:cs="Times New Roman"/>
          <w:color w:val="000000" w:themeColor="text1"/>
        </w:rPr>
        <w:t xml:space="preserve"> Федерального закона N 44-ФЗ признаются заказчиками (далее - заказчики). &lt;1&gt;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&lt;1&gt;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w:t>
      </w:r>
      <w:hyperlink r:id="rId7" w:history="1">
        <w:r w:rsidRPr="005D7734">
          <w:rPr>
            <w:rFonts w:ascii="Times New Roman" w:hAnsi="Times New Roman" w:cs="Times New Roman"/>
            <w:color w:val="000000" w:themeColor="text1"/>
          </w:rPr>
          <w:t>законом</w:t>
        </w:r>
      </w:hyperlink>
      <w:r w:rsidRPr="005D7734">
        <w:rPr>
          <w:rFonts w:ascii="Times New Roman" w:hAnsi="Times New Roman" w:cs="Times New Roman"/>
          <w:color w:val="000000" w:themeColor="text1"/>
        </w:rPr>
        <w:t xml:space="preserve"> от 18 июля 2011 г. N 223-ФЗ "О закупках товаров, работ, услуг отдельными видами юридических лиц".</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1.2. Основным инструментом выявления и минимизации коррупционных рисков при осуществлении закупок является оценка коррупционных рисков. 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 (организацией).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Предлагаемый подход рекомендуется в целях выявления и минимизации коррупционных рисков при осуществлении закупок и может применяться в иных направлениях деятельности органа (организации) с учетом соответствующих особенностей.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1.3. 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по профилактике коррупционных правонарушений) &lt;2&gt;, которые, по общему правилу &lt;3&gt;, являются ответственными за профилактику коррупционных правонарушений в органе (организации), а также за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противодействия коррупции.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&lt;2&gt; В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w:t>
      </w:r>
      <w:r w:rsidRPr="005D7734">
        <w:rPr>
          <w:rFonts w:ascii="Times New Roman" w:hAnsi="Times New Roman" w:cs="Times New Roman"/>
          <w:color w:val="000000" w:themeColor="text1"/>
        </w:rPr>
        <w:lastRenderedPageBreak/>
        <w:t>профилактику коррупционных и иных правонарушений (</w:t>
      </w:r>
      <w:hyperlink r:id="rId8" w:history="1">
        <w:r w:rsidRPr="005D7734">
          <w:rPr>
            <w:rFonts w:ascii="Times New Roman" w:hAnsi="Times New Roman" w:cs="Times New Roman"/>
            <w:color w:val="000000" w:themeColor="text1"/>
          </w:rPr>
          <w:t>пункт 1 части 2</w:t>
        </w:r>
      </w:hyperlink>
      <w:r w:rsidRPr="005D7734">
        <w:rPr>
          <w:rFonts w:ascii="Times New Roman" w:hAnsi="Times New Roman" w:cs="Times New Roman"/>
          <w:color w:val="000000" w:themeColor="text1"/>
        </w:rPr>
        <w:t xml:space="preserve"> статьи 13.3 Федерального закона N 273-ФЗ).</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&lt;3&gt; См., например, </w:t>
      </w:r>
      <w:hyperlink r:id="rId9" w:history="1">
        <w:r w:rsidRPr="005D7734">
          <w:rPr>
            <w:rFonts w:ascii="Times New Roman" w:hAnsi="Times New Roman" w:cs="Times New Roman"/>
            <w:color w:val="000000" w:themeColor="text1"/>
          </w:rPr>
          <w:t>пункт 5</w:t>
        </w:r>
      </w:hyperlink>
      <w:r w:rsidRPr="005D7734">
        <w:rPr>
          <w:rFonts w:ascii="Times New Roman" w:hAnsi="Times New Roman" w:cs="Times New Roman"/>
          <w:color w:val="000000" w:themeColor="text1"/>
        </w:rPr>
        <w:t xml:space="preserve"> Типового положения о подразделении федерального государственного органа по профилактике коррупционных и иных правонарушений, утвержденного Указом Президента Российской Федерации от 15 июля 2015 г. N 364 "О мерах по совершенствованию организации деятельности в области противодействия коррупции", </w:t>
      </w:r>
      <w:hyperlink r:id="rId10" w:history="1">
        <w:r w:rsidRPr="005D7734">
          <w:rPr>
            <w:rFonts w:ascii="Times New Roman" w:hAnsi="Times New Roman" w:cs="Times New Roman"/>
            <w:color w:val="000000" w:themeColor="text1"/>
          </w:rPr>
          <w:t>пункт 7</w:t>
        </w:r>
      </w:hyperlink>
      <w:r w:rsidRPr="005D7734">
        <w:rPr>
          <w:rFonts w:ascii="Times New Roman" w:hAnsi="Times New Roman" w:cs="Times New Roman"/>
          <w:color w:val="000000" w:themeColor="text1"/>
        </w:rPr>
        <w:t xml:space="preserve">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 заинтересованными органами (организациями) и размещенного для ознакомления и скачивания на официальном сайте Минтруда России в информационно-телекоммуникационной сети "Интернет": https://mintrud.gov.ru/ministry/programms/anticorruption/015/1.</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1.4. 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1.5. Оценка коррупционных рисков позволяет провести анализ проводимых в органе (организации) в соответствии с Федеральным </w:t>
      </w:r>
      <w:hyperlink r:id="rId11" w:history="1">
        <w:r w:rsidRPr="005D7734">
          <w:rPr>
            <w:rFonts w:ascii="Times New Roman" w:hAnsi="Times New Roman" w:cs="Times New Roman"/>
            <w:color w:val="000000" w:themeColor="text1"/>
          </w:rPr>
          <w:t>законом</w:t>
        </w:r>
      </w:hyperlink>
      <w:r w:rsidRPr="005D7734">
        <w:rPr>
          <w:rFonts w:ascii="Times New Roman" w:hAnsi="Times New Roman" w:cs="Times New Roman"/>
          <w:color w:val="000000" w:themeColor="text1"/>
        </w:rPr>
        <w:t xml:space="preserve"> N 44-ФЗ закупочных процедур для целей минимизации уровня коррупции.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1.6. 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1.7. 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1.8. 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органа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1.9. 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 этой связи органу (организации) рекомендуется самостоятельно с учетом положений настоящих Методических рекомендаций определять собственные коррупционные риски и индикаторы коррупции.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1.10. Результатом использования настоящих Методических рекомендаций будет обеспечение в </w:t>
      </w:r>
      <w:r w:rsidRPr="005D7734">
        <w:rPr>
          <w:rFonts w:ascii="Times New Roman" w:hAnsi="Times New Roman" w:cs="Times New Roman"/>
          <w:color w:val="000000" w:themeColor="text1"/>
        </w:rPr>
        <w:lastRenderedPageBreak/>
        <w:t>органах (организациях) единого подхода к организации работы по:</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выявлению коррупционных рисков, возникающих на разных этапах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разработке реестра (карты) коррупционных рисков, возникающих при осуществлении закупок (далее - реестр коррупционных рисков), и мер по их минимизации;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формированию индикаторов коррупции при осуществлении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1.11. Применительно к настоящим Методическим рекомендациями используются следующие понятия: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коррупционный риск - возможность совершения служащим (работником) коррупционного правонарушения;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коррупционное правонарушение - действие (бездействие), за совершение которого служащие (работники) в соответствии с законодательством Российской Федерации в области противодействия коррупции несут уголовную, административную, гражданско-правовую и дисциплинарную ответственность;</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оценка коррупционных рисков -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коррупционная схема - способ (совокупность способов) совершения коррупционного правонарушения;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идентификация коррупционного риска - процесс определения для отдельной процедуры потенциально возможных коррупционных схем при закупках в органе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анализ коррупционного риска - процесс понимания природы коррупционного риска и возможностей для его реализации;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индикатор коррупции - сведения, указывающие на возможность совершения коррупционного правонарушения, а также на реализацию коррупционной схемы;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ранжирование коррупционных рисков - процесс определения значимости выявленных коррупционных рисков в соответствии с принятой в органе (организации) методикой.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1.12. Настоящие Методические рекомендации целесообразно рассматривать в системной взаимосвязи с Методическими </w:t>
      </w:r>
      <w:hyperlink r:id="rId12" w:history="1">
        <w:r w:rsidRPr="005D7734">
          <w:rPr>
            <w:rFonts w:ascii="Times New Roman" w:hAnsi="Times New Roman" w:cs="Times New Roman"/>
            <w:color w:val="000000" w:themeColor="text1"/>
          </w:rPr>
          <w:t>рекомендациями</w:t>
        </w:r>
      </w:hyperlink>
      <w:r w:rsidRPr="005D7734">
        <w:rPr>
          <w:rFonts w:ascii="Times New Roman" w:hAnsi="Times New Roman" w:cs="Times New Roman"/>
          <w:color w:val="000000" w:themeColor="text1"/>
        </w:rP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&lt;4&gt;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&lt;4&gt; Методические </w:t>
      </w:r>
      <w:hyperlink r:id="rId13" w:history="1">
        <w:r w:rsidRPr="005D7734">
          <w:rPr>
            <w:rFonts w:ascii="Times New Roman" w:hAnsi="Times New Roman" w:cs="Times New Roman"/>
            <w:color w:val="000000" w:themeColor="text1"/>
          </w:rPr>
          <w:t>рекомендации</w:t>
        </w:r>
      </w:hyperlink>
      <w:r w:rsidRPr="005D7734">
        <w:rPr>
          <w:rFonts w:ascii="Times New Roman" w:hAnsi="Times New Roman" w:cs="Times New Roman"/>
          <w:color w:val="000000" w:themeColor="text1"/>
        </w:rP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N 223-ФЗ "О закупках товаров, работ, услуг отдельными видами юридических лиц", работы, направленной на выявление личной заинтересованности </w:t>
      </w:r>
      <w:r w:rsidRPr="005D7734">
        <w:rPr>
          <w:rFonts w:ascii="Times New Roman" w:hAnsi="Times New Roman" w:cs="Times New Roman"/>
          <w:color w:val="000000" w:themeColor="text1"/>
        </w:rPr>
        <w:lastRenderedPageBreak/>
        <w:t>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"Интернет" по ссылке: https://mintrud.gov.ru/ministry/programms/anticorruption/9/19.</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jc w:val="center"/>
        <w:outlineLvl w:val="1"/>
        <w:rPr>
          <w:rFonts w:ascii="Times New Roman" w:hAnsi="Times New Roman" w:cs="Times New Roman"/>
          <w:color w:val="000000" w:themeColor="text1"/>
        </w:rPr>
      </w:pPr>
      <w:r w:rsidRPr="005D7734">
        <w:rPr>
          <w:rFonts w:ascii="Times New Roman" w:hAnsi="Times New Roman" w:cs="Times New Roman"/>
          <w:color w:val="000000" w:themeColor="text1"/>
        </w:rPr>
        <w:t>2. Задачи и принципы оценки коррупционных рисков</w:t>
      </w:r>
    </w:p>
    <w:p w:rsidR="005D7734" w:rsidRPr="005D7734" w:rsidRDefault="005D7734">
      <w:pPr>
        <w:pStyle w:val="ConsPlusTitle"/>
        <w:jc w:val="center"/>
        <w:rPr>
          <w:rFonts w:ascii="Times New Roman" w:hAnsi="Times New Roman" w:cs="Times New Roman"/>
          <w:color w:val="000000" w:themeColor="text1"/>
        </w:rPr>
      </w:pPr>
      <w:proofErr w:type="gramStart"/>
      <w:r w:rsidRPr="005D7734">
        <w:rPr>
          <w:rFonts w:ascii="Times New Roman" w:hAnsi="Times New Roman" w:cs="Times New Roman"/>
          <w:color w:val="000000" w:themeColor="text1"/>
        </w:rPr>
        <w:t>при</w:t>
      </w:r>
      <w:proofErr w:type="gramEnd"/>
      <w:r w:rsidRPr="005D7734">
        <w:rPr>
          <w:rFonts w:ascii="Times New Roman" w:hAnsi="Times New Roman" w:cs="Times New Roman"/>
          <w:color w:val="000000" w:themeColor="text1"/>
        </w:rPr>
        <w:t xml:space="preserve"> осуществлении закупок</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2.1. 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системы управления коррупционными рисками, присущими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2.2. Оценку коррупционных рисков рекомендуется проводить с учетом следующих основных принципов: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законность: оценка коррупционных рисков не должна противоречить нормативным правовым и иным актам Российской Федерации;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полнота: 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рациональное распределение ресурсов: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взаимосвязь результатов оценки коррупционных рисков с проводимыми мероприятиями по профилактике коррупционных правонарушений;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своевременность и регулярность: 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Российской Федерации о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 этой связи оценку коррупционных рисков рекомендуется проводить регулярно (например, раз в два - 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адекватность: 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презумпция добросовестности: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 xml:space="preserve">- исключение </w:t>
      </w:r>
      <w:proofErr w:type="spellStart"/>
      <w:r w:rsidRPr="005D7734">
        <w:rPr>
          <w:rFonts w:ascii="Times New Roman" w:hAnsi="Times New Roman" w:cs="Times New Roman"/>
          <w:color w:val="000000" w:themeColor="text1"/>
        </w:rPr>
        <w:t>субъектности</w:t>
      </w:r>
      <w:proofErr w:type="spellEnd"/>
      <w:r w:rsidRPr="005D7734">
        <w:rPr>
          <w:rFonts w:ascii="Times New Roman" w:hAnsi="Times New Roman" w:cs="Times New Roman"/>
          <w:color w:val="000000" w:themeColor="text1"/>
        </w:rPr>
        <w:t>: 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беспристрастность и профессионализм: оценку коррупционных рисков необходимо поручать не только лицам, которые являются независимыми по отношению к закупочным процедурам, реализуемым в органе (организации), но и лицам, обладающим необходимыми познаниями в оцениваемой сфере.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конкретность: результаты оценки коррупционных рисков должны быть понятны и объективны, не допускать двусмысленных формулировок и иных возможностей неоднозначного толкования.</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jc w:val="center"/>
        <w:outlineLvl w:val="1"/>
        <w:rPr>
          <w:rFonts w:ascii="Times New Roman" w:hAnsi="Times New Roman" w:cs="Times New Roman"/>
          <w:color w:val="000000" w:themeColor="text1"/>
        </w:rPr>
      </w:pPr>
      <w:r w:rsidRPr="005D7734">
        <w:rPr>
          <w:rFonts w:ascii="Times New Roman" w:hAnsi="Times New Roman" w:cs="Times New Roman"/>
          <w:color w:val="000000" w:themeColor="text1"/>
        </w:rPr>
        <w:t>3. Рекомендуемый порядок оценки коррупционных рисков</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 Оценка коррупционных рисков заключается в выявлении условий 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 При проведении оценки коррупционных рисков необходимо установить и определить следующее: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предмет коррупционного правонарушения (за какие возможные действия (бездействие) служащий (работник) может получить противоправную выгоду);</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используемые коррупционные схемы;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индикаторы коррупции.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3.3. Процедура оценки коррупционных рисков и принятия мер по минимизации выявленных коррупционных рисков состоит из нескольких последовательных этапов: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подготовительный этап;</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описание процедуры осуществления закупки в органе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идентификация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анализ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ранжирование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разработка мер по минимизации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утверждение результатов оценки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мониторинг реализации мер по минимизации выявленных коррупционных рисков.</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Подготовительный этап</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3.4. 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сроки проведения;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формы контроля за проведением оценки;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аспекты, признанные целесообразными к закреплению в локальном нормативном акте органа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3.5. 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При наличии возможности и признании целесообразным к оценке коррупционных рисков могут привлекаться также внешние эксперты, в том числе члены комиссии по соблюдению требований к служебному поведению и урегулированию конфликта интересов (при наличии), общественного совета при государственном органе, органе местного самоуправления (при наличии)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 таком случае состав рабочей группы также целесообразно закрепить в локальном акте органа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bookmarkStart w:id="1" w:name="P97"/>
      <w:bookmarkEnd w:id="1"/>
      <w:r w:rsidRPr="005D7734">
        <w:rPr>
          <w:rFonts w:ascii="Times New Roman" w:hAnsi="Times New Roman" w:cs="Times New Roman"/>
          <w:color w:val="000000" w:themeColor="text1"/>
        </w:rPr>
        <w:t>3.6. 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3.6.1. К внутренним источникам информации можно отнести следующее: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организационно-штатная структура и штатное расписание органа (организации) в части, касающейся осуществления закупок и иной связанной с ними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положения о структурных подразделениях органа (организации), участвующих в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должностные регламенты (инструкции), служебные (трудовые) обязанности служащих (работников), участвующих в осуществлении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локальные нормативные и иные акты органа (организации), касающиеся осуществления закупок и иной связанной с ними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результаты внутреннего или внешнего анализа деятельности органа (организации), касающиеся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 сведения о коррупционных правонарушениях, ранее совершенных служащими (работниками) при осуществлении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сведения бухгалтерского баланса;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план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сведения о доходах, расходах, об имуществе и обязательствах имущественного характера служащих (работников), участвующих в осуществлении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документы, в том числе характеризующие порядок (процедуру) осуществления закупки в органе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3.6.2. К внешним источникам информации можно отнести следующее: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результаты независимых исследований, посвященных коррупционным рискам при осуществлении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нормативные правовые и иные акты Российской Федерации, в частности, о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обращения граждан и организаций, содержащие информацию о коррупционных правонарушениях при осуществлении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сообщения, в том числе о коррупционных правонарушениях, в средствах массовой информации и в информационно-телекоммуникационной сети "Интернет";</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органами местного самоуправления и их должностными лицами, включая акты прокурорского реагирования, и др.;</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материалы проведенных органами прокуратуры мероприятий по надзору за соблюдением законодательства Российской Федерации о закупочной деятельности или иного применимого законодательства Российской Федерации;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обзоры типовых нарушений, совершаемых при осуществлении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применимые материалы.</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Описание процедуры осуществления закупки в органе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3.7. 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и того, что происходит на практике ("в жизни").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3.8. Основная задача данного этапа - понять, каким образом в органе (организации) фактически происходит осуществление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Для реализации данной задачи рекомендуется проанализировать информацию, указанную в </w:t>
      </w:r>
      <w:hyperlink w:anchor="P97" w:history="1">
        <w:r w:rsidRPr="005D7734">
          <w:rPr>
            <w:rFonts w:ascii="Times New Roman" w:hAnsi="Times New Roman" w:cs="Times New Roman"/>
            <w:color w:val="000000" w:themeColor="text1"/>
          </w:rPr>
          <w:t>пункте 3.6</w:t>
        </w:r>
      </w:hyperlink>
      <w:r w:rsidRPr="005D7734">
        <w:rPr>
          <w:rFonts w:ascii="Times New Roman" w:hAnsi="Times New Roman" w:cs="Times New Roman"/>
          <w:color w:val="000000" w:themeColor="text1"/>
        </w:rPr>
        <w:t xml:space="preserve"> настоящих Методических рекомендаций, и иную применимую и находящуюся в распоряжении органа (организации) информацию.</w:t>
      </w:r>
    </w:p>
    <w:p w:rsidR="005D7734" w:rsidRPr="005D7734" w:rsidRDefault="005D7734">
      <w:pPr>
        <w:pStyle w:val="ConsPlusNormal"/>
        <w:spacing w:before="220"/>
        <w:ind w:firstLine="540"/>
        <w:jc w:val="both"/>
        <w:rPr>
          <w:rFonts w:ascii="Times New Roman" w:hAnsi="Times New Roman" w:cs="Times New Roman"/>
          <w:color w:val="000000" w:themeColor="text1"/>
        </w:rPr>
      </w:pPr>
      <w:bookmarkStart w:id="2" w:name="P125"/>
      <w:bookmarkEnd w:id="2"/>
      <w:r w:rsidRPr="005D7734">
        <w:rPr>
          <w:rFonts w:ascii="Times New Roman" w:hAnsi="Times New Roman" w:cs="Times New Roman"/>
          <w:color w:val="000000" w:themeColor="text1"/>
        </w:rPr>
        <w:lastRenderedPageBreak/>
        <w:t>3.9. По результатам анализа целесообразно представить процедуру осуществления закупки в органе (организации) в качестве блок-схемы.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Для целей качественного анализа процедуры осуществления закупки в блок-схеме рекомендуется использовать разные функциональные элементы. Примеры наиболее часто встречающихся функциональных элементов представлены в </w:t>
      </w:r>
      <w:hyperlink w:anchor="P350" w:history="1">
        <w:r w:rsidRPr="005D7734">
          <w:rPr>
            <w:rFonts w:ascii="Times New Roman" w:hAnsi="Times New Roman" w:cs="Times New Roman"/>
            <w:color w:val="000000" w:themeColor="text1"/>
          </w:rPr>
          <w:t>Приложении N 1</w:t>
        </w:r>
      </w:hyperlink>
      <w:r w:rsidRPr="005D7734">
        <w:rPr>
          <w:rFonts w:ascii="Times New Roman" w:hAnsi="Times New Roman" w:cs="Times New Roman"/>
          <w:color w:val="000000" w:themeColor="text1"/>
        </w:rPr>
        <w:t xml:space="preserve"> к настоящим Методическим рекомендациям.</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3.10. 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Идентификация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3.11. 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w:t>
      </w:r>
      <w:hyperlink w:anchor="P97" w:history="1">
        <w:r w:rsidRPr="005D7734">
          <w:rPr>
            <w:rFonts w:ascii="Times New Roman" w:hAnsi="Times New Roman" w:cs="Times New Roman"/>
            <w:color w:val="000000" w:themeColor="text1"/>
          </w:rPr>
          <w:t>пункте 3.6</w:t>
        </w:r>
      </w:hyperlink>
      <w:r w:rsidRPr="005D7734">
        <w:rPr>
          <w:rFonts w:ascii="Times New Roman" w:hAnsi="Times New Roman" w:cs="Times New Roman"/>
          <w:color w:val="000000" w:themeColor="text1"/>
        </w:rPr>
        <w:t xml:space="preserve"> настоящих Методических рекомендаций.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3.12. Признаками наличия коррупционного риска при осуществлении закупок может являться наличие у служащего (работника):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 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r:id="rId14" w:history="1">
        <w:r w:rsidRPr="005D7734">
          <w:rPr>
            <w:rFonts w:ascii="Times New Roman" w:hAnsi="Times New Roman" w:cs="Times New Roman"/>
            <w:color w:val="000000" w:themeColor="text1"/>
          </w:rPr>
          <w:t>частями 1</w:t>
        </w:r>
      </w:hyperlink>
      <w:r w:rsidRPr="005D7734">
        <w:rPr>
          <w:rFonts w:ascii="Times New Roman" w:hAnsi="Times New Roman" w:cs="Times New Roman"/>
          <w:color w:val="000000" w:themeColor="text1"/>
        </w:rPr>
        <w:t xml:space="preserve">, </w:t>
      </w:r>
      <w:hyperlink r:id="rId15" w:history="1">
        <w:r w:rsidRPr="005D7734">
          <w:rPr>
            <w:rFonts w:ascii="Times New Roman" w:hAnsi="Times New Roman" w:cs="Times New Roman"/>
            <w:color w:val="000000" w:themeColor="text1"/>
          </w:rPr>
          <w:t>2.1</w:t>
        </w:r>
      </w:hyperlink>
      <w:r w:rsidRPr="005D7734">
        <w:rPr>
          <w:rFonts w:ascii="Times New Roman" w:hAnsi="Times New Roman" w:cs="Times New Roman"/>
          <w:color w:val="000000" w:themeColor="text1"/>
        </w:rPr>
        <w:t xml:space="preserve">, </w:t>
      </w:r>
      <w:hyperlink r:id="rId16" w:history="1">
        <w:r w:rsidRPr="005D7734">
          <w:rPr>
            <w:rFonts w:ascii="Times New Roman" w:hAnsi="Times New Roman" w:cs="Times New Roman"/>
            <w:color w:val="000000" w:themeColor="text1"/>
          </w:rPr>
          <w:t>4</w:t>
        </w:r>
      </w:hyperlink>
      <w:r w:rsidRPr="005D7734">
        <w:rPr>
          <w:rFonts w:ascii="Times New Roman" w:hAnsi="Times New Roman" w:cs="Times New Roman"/>
          <w:color w:val="000000" w:themeColor="text1"/>
        </w:rPr>
        <w:t xml:space="preserve"> и </w:t>
      </w:r>
      <w:hyperlink r:id="rId17" w:history="1">
        <w:r w:rsidRPr="005D7734">
          <w:rPr>
            <w:rFonts w:ascii="Times New Roman" w:hAnsi="Times New Roman" w:cs="Times New Roman"/>
            <w:color w:val="000000" w:themeColor="text1"/>
          </w:rPr>
          <w:t>5 статьи 15</w:t>
        </w:r>
      </w:hyperlink>
      <w:r w:rsidRPr="005D7734">
        <w:rPr>
          <w:rFonts w:ascii="Times New Roman" w:hAnsi="Times New Roman" w:cs="Times New Roman"/>
          <w:color w:val="000000" w:themeColor="text1"/>
        </w:rPr>
        <w:t xml:space="preserve"> Федерального закона N 44-ФЗ (далее - контракт);</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возможности взаимодействия с потенциальными участниками закупки (то есть потенциальными поставщиками (подрядчиками, исполнителями)).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3.13. 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анкетирование;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экспертное обсуждение;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методы.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Выбор конкретного метода рекомендуется обосновывать фактическими обстоятельствами, сложившимися в органе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3.14. Одновременно для идентификации коррупционных рисков могут быть использованы ответы на следующие вопросы: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кто может быть заинтересован в коррупционном правонарушении?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какие коррупционные правонарушения могут быть совершены на рассматриваемом этапе осуществления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 чем заключается взаимосвязь возможного коррупционного правонарушения и возможных к получению выгод?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3.15. На каждом этапе осуществления закупки может быть выявлено несколько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 xml:space="preserve">3.16. По результатам идентификации коррупционных рисков их целесообразно перенести на блок-схему, подготовленную в соответствии с </w:t>
      </w:r>
      <w:hyperlink w:anchor="P125" w:history="1">
        <w:r w:rsidRPr="005D7734">
          <w:rPr>
            <w:rFonts w:ascii="Times New Roman" w:hAnsi="Times New Roman" w:cs="Times New Roman"/>
            <w:color w:val="000000" w:themeColor="text1"/>
          </w:rPr>
          <w:t>пунктом 3.9</w:t>
        </w:r>
      </w:hyperlink>
      <w:r w:rsidRPr="005D7734">
        <w:rPr>
          <w:rFonts w:ascii="Times New Roman" w:hAnsi="Times New Roman" w:cs="Times New Roman"/>
          <w:color w:val="000000" w:themeColor="text1"/>
        </w:rPr>
        <w:t xml:space="preserve"> настоящих Методических рекомендаций.</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Анализ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3.17. По результатам идентификации коррупционных рисков рекомендуется описать коррупционное правонарушение с точки зрения 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3.18. Для проведения указанной работы могут быть использованы ответы на следующие вопросы: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какие действия (бездействие) приведут к получению неправомерной выгоды в связи с осуществлением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каким образом потенциально возможно извлечь неправомерную выгоду?</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кто рискует быть вовлечен в коррупционную схему?</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каким образом возможно обойти механизмы внутреннего (внешнего) контроля?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3.19. При описании коррупционной схемы целесообразно описать следующие аспекты: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какая выгода может быть неправомерно получена;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кто может быть заинтересован в получении неправомерной выгоды при осуществлении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перечень служащих (работников) организации, участие которых позволит реализовать коррупционную схему;</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описание потенциально возможных способов получения неправомерной выгоды;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краткое и развернутое описание коррупционной схемы;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состав коррупционных правонарушений, совершаемых в рамках рассматриваемой коррупционной схемы;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существующие механизмы внутреннего (внешнего) контроля и способы их обхода;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применимые аспекты.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3.20. При этом стоит разграничивать коррупционные риски и коррупционные схемы от фактов необоснованных закупок, влекущих негативные последствия для органа (организации), в том числе в виде экономического ущерба.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3.21. При анализе коррупционных рисков процедуру осуществления закупки можно разделить на следующие основные этапы: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пред-процедурный этап (предусматривающий в том числе процедурные основы осуществления закупок; планирование закупок; подготовку иной документации для осуществления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процедурный этап (определение поставщика (подрядчика, исполнителя));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пост-процедурный этап (исполнение, изменение, расторжение контракта).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3.22. 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w:t>
      </w:r>
      <w:r w:rsidRPr="005D7734">
        <w:rPr>
          <w:rFonts w:ascii="Times New Roman" w:hAnsi="Times New Roman" w:cs="Times New Roman"/>
          <w:color w:val="000000" w:themeColor="text1"/>
        </w:rPr>
        <w:lastRenderedPageBreak/>
        <w:t>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Подразделению по профилактике коррупционных правонарушений также может быть рекомендовано оценить документацию, подготавливаемую для целей осуществления закупки, через призму возможной </w:t>
      </w:r>
      <w:proofErr w:type="spellStart"/>
      <w:r w:rsidRPr="005D7734">
        <w:rPr>
          <w:rFonts w:ascii="Times New Roman" w:hAnsi="Times New Roman" w:cs="Times New Roman"/>
          <w:color w:val="000000" w:themeColor="text1"/>
        </w:rPr>
        <w:t>аффилированности</w:t>
      </w:r>
      <w:proofErr w:type="spellEnd"/>
      <w:r w:rsidRPr="005D7734">
        <w:rPr>
          <w:rFonts w:ascii="Times New Roman" w:hAnsi="Times New Roman" w:cs="Times New Roman"/>
          <w:color w:val="000000" w:themeColor="text1"/>
        </w:rPr>
        <w:t xml:space="preserve"> с потенциальными участниками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Стоит учитывать также избыточное количество сложных для восприятия формулировок, которые могут использоваться для: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сокрытия коррупционных правонарушений;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ограничения возможности осуществления контрольных (мониторинговых) мероприятий;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необоснованного объединения (дробления) лотов;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ограничения потенциального количества участников закупок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3.23. 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оценки (например, наличие двусмысленных формулировок, а также критериев, соответствие которым сложно подтвердить).</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3.24. При анализе пост-процедурного этапа необходимо обращать внимание на существенное изменение условий контракта, а также на аспекты, связанные с:</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оплатой заказчиком поставленного товара, выполненной работы (ее результатов), оказанной услуги, а также отдельных этапов исполнения контракта;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 взаимодействием заказчика с поставщиком (подрядчиком, исполнителем) при изменении, расторжении контракта в соответствии со </w:t>
      </w:r>
      <w:hyperlink r:id="rId18" w:history="1">
        <w:r w:rsidRPr="005D7734">
          <w:rPr>
            <w:rFonts w:ascii="Times New Roman" w:hAnsi="Times New Roman" w:cs="Times New Roman"/>
            <w:color w:val="000000" w:themeColor="text1"/>
          </w:rPr>
          <w:t>статьей 95</w:t>
        </w:r>
      </w:hyperlink>
      <w:r w:rsidRPr="005D7734">
        <w:rPr>
          <w:rFonts w:ascii="Times New Roman" w:hAnsi="Times New Roman" w:cs="Times New Roman"/>
          <w:color w:val="000000" w:themeColor="text1"/>
        </w:rPr>
        <w:t xml:space="preserve"> Федерального закона N 44-ФЗ,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3.25. Индикаторы коррупции не позволяют однозначно говорить о коррупционном правонарушении как свершившемся факте. Даже в условиях большого количества индикаторов коррупции закупка может быть честной, законной.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3.26. Возможные индикаторы коррупции &lt;5&gt;: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&lt;5&gt;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незначительное количество участников закупки;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существенное количество неконкурентных способов осуществления закупки, то есть в форме закупки у единственного поставщика (подрядчика, исполнителя);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 качестве поставщика (подрядчика, исполнителя) выступает одно и то же физическое (юридическое) лицо;</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"регулярные" участники закупки не принимают участие в конкретной закупке;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участники закупки "неожиданно" отзывают свои заявки;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 качестве субподрядчиков привлекаются участники закупки, не определенные в качестве поставщика (подрядчика, исполнителя);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участниками закупки являются юридические лица, обладающие следующими признаками: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создание по адресу "массовой" регистрации;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незначительный (минимальный) размер уставного капитала;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отсутствие на праве собственности или ином законном основании оборудования и других материальных ресурсов для исполнения контракта;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недавняя регистрация организации (за несколько недель или месяцев до даты объявления торгов);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отсутствие необходимого количества специалистов требуемого уровня квалификации для исполнения контракта;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отсутствие непосредственных контактов с контрагентами;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отсутствие в штатном расписании организации лица, отвечающего за бухгалтерский учет (главного бухгалтера);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договоры с контрагентом содержат условия, которые не характерны для обычной практики,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 целях создания видимости конкуренции участниками закупки являются физические (юридические) лица, которые объективно не в состоянии исполнить потенциальный контракт &lt;6&gt;,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&lt;6&gt;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https://pb.nalog.ru/, а также посредством использования различных </w:t>
      </w:r>
      <w:proofErr w:type="spellStart"/>
      <w:r w:rsidRPr="005D7734">
        <w:rPr>
          <w:rFonts w:ascii="Times New Roman" w:hAnsi="Times New Roman" w:cs="Times New Roman"/>
          <w:color w:val="000000" w:themeColor="text1"/>
        </w:rPr>
        <w:t>агрегаторов</w:t>
      </w:r>
      <w:proofErr w:type="spellEnd"/>
      <w:r w:rsidRPr="005D7734">
        <w:rPr>
          <w:rFonts w:ascii="Times New Roman" w:hAnsi="Times New Roman" w:cs="Times New Roman"/>
          <w:color w:val="000000" w:themeColor="text1"/>
        </w:rPr>
        <w:t xml:space="preserve"> информации.</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Ранжирование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3.27. По результатам описания выявленных коррупционных рисков и применимых коррупционных схем рекомендуется провести оценку их значимости.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3.28. Ранжирование коррупционных рисков может осуществляться с использованием различных методов. 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При признании целесообразным органом (организацией) может быть использован иной метод ранжирования.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3.29. Критерии ранжирования могут выстраиваться исходя из общих подходов либо с учетом правоприменительной практики (например, частота ранее зафиксированных коррупционных правонарушений; возможный экономический ущерб (штраф) и проч.).</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3.30. Степень выраженности каждого критерия рекомендуется оценить 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"вероятность реализации" и "потенциальный вред" представлены в </w:t>
      </w:r>
      <w:hyperlink w:anchor="P217" w:history="1">
        <w:r w:rsidRPr="005D7734">
          <w:rPr>
            <w:rFonts w:ascii="Times New Roman" w:hAnsi="Times New Roman" w:cs="Times New Roman"/>
            <w:color w:val="000000" w:themeColor="text1"/>
          </w:rPr>
          <w:t>таблице 1</w:t>
        </w:r>
      </w:hyperlink>
      <w:r w:rsidRPr="005D7734">
        <w:rPr>
          <w:rFonts w:ascii="Times New Roman" w:hAnsi="Times New Roman" w:cs="Times New Roman"/>
          <w:color w:val="000000" w:themeColor="text1"/>
        </w:rPr>
        <w:t xml:space="preserve"> и </w:t>
      </w:r>
      <w:hyperlink w:anchor="P241" w:history="1">
        <w:r w:rsidRPr="005D7734">
          <w:rPr>
            <w:rFonts w:ascii="Times New Roman" w:hAnsi="Times New Roman" w:cs="Times New Roman"/>
            <w:color w:val="000000" w:themeColor="text1"/>
          </w:rPr>
          <w:t>2</w:t>
        </w:r>
      </w:hyperlink>
      <w:r w:rsidRPr="005D7734">
        <w:rPr>
          <w:rFonts w:ascii="Times New Roman" w:hAnsi="Times New Roman" w:cs="Times New Roman"/>
          <w:color w:val="000000" w:themeColor="text1"/>
        </w:rPr>
        <w:t xml:space="preserve"> соответственно.</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3.31.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по минимизации.</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right"/>
        <w:outlineLvl w:val="3"/>
        <w:rPr>
          <w:rFonts w:ascii="Times New Roman" w:hAnsi="Times New Roman" w:cs="Times New Roman"/>
          <w:color w:val="000000" w:themeColor="text1"/>
        </w:rPr>
      </w:pPr>
      <w:r w:rsidRPr="005D7734">
        <w:rPr>
          <w:rFonts w:ascii="Times New Roman" w:hAnsi="Times New Roman" w:cs="Times New Roman"/>
          <w:color w:val="000000" w:themeColor="text1"/>
        </w:rPr>
        <w:t>Таблица 1.</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jc w:val="center"/>
        <w:rPr>
          <w:rFonts w:ascii="Times New Roman" w:hAnsi="Times New Roman" w:cs="Times New Roman"/>
          <w:color w:val="000000" w:themeColor="text1"/>
        </w:rPr>
      </w:pPr>
      <w:bookmarkStart w:id="3" w:name="P217"/>
      <w:bookmarkEnd w:id="3"/>
      <w:r w:rsidRPr="005D7734">
        <w:rPr>
          <w:rFonts w:ascii="Times New Roman" w:hAnsi="Times New Roman" w:cs="Times New Roman"/>
          <w:color w:val="000000" w:themeColor="text1"/>
        </w:rPr>
        <w:t>Градация степени выраженности критерия</w:t>
      </w:r>
    </w:p>
    <w:p w:rsidR="005D7734" w:rsidRPr="005D7734" w:rsidRDefault="005D7734">
      <w:pPr>
        <w:pStyle w:val="ConsPlusTitle"/>
        <w:jc w:val="center"/>
        <w:rPr>
          <w:rFonts w:ascii="Times New Roman" w:hAnsi="Times New Roman" w:cs="Times New Roman"/>
          <w:color w:val="000000" w:themeColor="text1"/>
        </w:rPr>
      </w:pPr>
      <w:r w:rsidRPr="005D7734">
        <w:rPr>
          <w:rFonts w:ascii="Times New Roman" w:hAnsi="Times New Roman" w:cs="Times New Roman"/>
          <w:color w:val="000000" w:themeColor="text1"/>
        </w:rPr>
        <w:t>"вероятность реализации"</w:t>
      </w:r>
    </w:p>
    <w:p w:rsidR="005D7734" w:rsidRPr="005D7734" w:rsidRDefault="005D773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701"/>
        <w:gridCol w:w="5376"/>
      </w:tblGrid>
      <w:tr w:rsidR="005D7734" w:rsidRPr="005D7734">
        <w:tc>
          <w:tcPr>
            <w:tcW w:w="1984"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Степень выраженности</w:t>
            </w:r>
          </w:p>
        </w:tc>
        <w:tc>
          <w:tcPr>
            <w:tcW w:w="1701"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Процентный показатель</w:t>
            </w:r>
          </w:p>
        </w:tc>
        <w:tc>
          <w:tcPr>
            <w:tcW w:w="5376"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Описание</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Очень часто</w:t>
            </w:r>
          </w:p>
        </w:tc>
        <w:tc>
          <w:tcPr>
            <w:tcW w:w="1701"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Более 75%</w:t>
            </w:r>
          </w:p>
        </w:tc>
        <w:tc>
          <w:tcPr>
            <w:tcW w:w="5376"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Сомнения в том, что событие произойдет, практически отсутствуют. В определенных обстоятельствах событие происходит очень часто, что подтверждается аналитическими данными</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Высокая частота</w:t>
            </w:r>
          </w:p>
        </w:tc>
        <w:tc>
          <w:tcPr>
            <w:tcW w:w="1701"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50% - 75%</w:t>
            </w:r>
          </w:p>
        </w:tc>
        <w:tc>
          <w:tcPr>
            <w:tcW w:w="5376"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Событие происходит в большинстве случаев. При определенных обстоятельствах событие является прогнозируемым</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Средняя частота</w:t>
            </w:r>
          </w:p>
        </w:tc>
        <w:tc>
          <w:tcPr>
            <w:tcW w:w="1701"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25% - 50%</w:t>
            </w:r>
          </w:p>
        </w:tc>
        <w:tc>
          <w:tcPr>
            <w:tcW w:w="5376"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Событие происходит редко, но является наблюдаемым</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Низкая частота</w:t>
            </w:r>
          </w:p>
        </w:tc>
        <w:tc>
          <w:tcPr>
            <w:tcW w:w="1701"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5% - 25%</w:t>
            </w:r>
          </w:p>
        </w:tc>
        <w:tc>
          <w:tcPr>
            <w:tcW w:w="5376"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Наступление события не ожидается, хотя в целом оно возможно</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Очень редко</w:t>
            </w:r>
          </w:p>
        </w:tc>
        <w:tc>
          <w:tcPr>
            <w:tcW w:w="1701"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Менее 5%</w:t>
            </w:r>
          </w:p>
        </w:tc>
        <w:tc>
          <w:tcPr>
            <w:tcW w:w="5376" w:type="dxa"/>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Крайне маловероятно, что событие произойдет, ретроспективный анализ не содержит фактов подобного события (либо случаи единичны), событие происходит исключительно при определенных сложно достижимых обстоятельствах</w:t>
            </w:r>
          </w:p>
        </w:tc>
      </w:tr>
    </w:tbl>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right"/>
        <w:outlineLvl w:val="3"/>
        <w:rPr>
          <w:rFonts w:ascii="Times New Roman" w:hAnsi="Times New Roman" w:cs="Times New Roman"/>
          <w:color w:val="000000" w:themeColor="text1"/>
        </w:rPr>
      </w:pPr>
      <w:r w:rsidRPr="005D7734">
        <w:rPr>
          <w:rFonts w:ascii="Times New Roman" w:hAnsi="Times New Roman" w:cs="Times New Roman"/>
          <w:color w:val="000000" w:themeColor="text1"/>
        </w:rPr>
        <w:t>Таблица 2.</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jc w:val="center"/>
        <w:rPr>
          <w:rFonts w:ascii="Times New Roman" w:hAnsi="Times New Roman" w:cs="Times New Roman"/>
          <w:color w:val="000000" w:themeColor="text1"/>
        </w:rPr>
      </w:pPr>
      <w:bookmarkStart w:id="4" w:name="P241"/>
      <w:bookmarkEnd w:id="4"/>
      <w:r w:rsidRPr="005D7734">
        <w:rPr>
          <w:rFonts w:ascii="Times New Roman" w:hAnsi="Times New Roman" w:cs="Times New Roman"/>
          <w:color w:val="000000" w:themeColor="text1"/>
        </w:rPr>
        <w:t>Градация степени выраженности критерия</w:t>
      </w:r>
    </w:p>
    <w:p w:rsidR="005D7734" w:rsidRPr="005D7734" w:rsidRDefault="005D7734">
      <w:pPr>
        <w:pStyle w:val="ConsPlusTitle"/>
        <w:jc w:val="center"/>
        <w:rPr>
          <w:rFonts w:ascii="Times New Roman" w:hAnsi="Times New Roman" w:cs="Times New Roman"/>
          <w:color w:val="000000" w:themeColor="text1"/>
        </w:rPr>
      </w:pPr>
      <w:r w:rsidRPr="005D7734">
        <w:rPr>
          <w:rFonts w:ascii="Times New Roman" w:hAnsi="Times New Roman" w:cs="Times New Roman"/>
          <w:color w:val="000000" w:themeColor="text1"/>
        </w:rPr>
        <w:t>"потенциальный вред"</w:t>
      </w:r>
    </w:p>
    <w:p w:rsidR="005D7734" w:rsidRPr="005D7734" w:rsidRDefault="005D773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5D7734" w:rsidRPr="005D7734">
        <w:tc>
          <w:tcPr>
            <w:tcW w:w="1984" w:type="dxa"/>
            <w:vAlign w:val="bottom"/>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Степень выраженности</w:t>
            </w:r>
          </w:p>
        </w:tc>
        <w:tc>
          <w:tcPr>
            <w:tcW w:w="7087"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 xml:space="preserve">Описание </w:t>
            </w:r>
            <w:hyperlink w:anchor="P258" w:history="1">
              <w:r w:rsidRPr="005D7734">
                <w:rPr>
                  <w:rFonts w:ascii="Times New Roman" w:hAnsi="Times New Roman" w:cs="Times New Roman"/>
                  <w:color w:val="000000" w:themeColor="text1"/>
                </w:rPr>
                <w:t>&lt;7&gt;</w:t>
              </w:r>
            </w:hyperlink>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Очень тяжелый</w:t>
            </w:r>
          </w:p>
        </w:tc>
        <w:tc>
          <w:tcPr>
            <w:tcW w:w="7087"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Реализация коррупционного риска приведет к существенным потерям, в том числе охраняемым законом ценностям, и нарушению закупочной процедуры</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Значительный</w:t>
            </w:r>
          </w:p>
        </w:tc>
        <w:tc>
          <w:tcPr>
            <w:tcW w:w="7087"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Реализация коррупционного риска приведет к значительным потерям и нарушению закупочной процедуры</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Средней тяжести</w:t>
            </w:r>
          </w:p>
        </w:tc>
        <w:tc>
          <w:tcPr>
            <w:tcW w:w="7087"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Риск, который, если не будет пресечен, может привести к ощутимым потерям и нарушению закупочной процедуры</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Легкий</w:t>
            </w:r>
          </w:p>
        </w:tc>
        <w:tc>
          <w:tcPr>
            <w:tcW w:w="7087"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Риск незначительно влияет на закупочную процедуру, существенного нарушения закупочной процедуры не наблюдается</w:t>
            </w:r>
          </w:p>
        </w:tc>
      </w:tr>
      <w:tr w:rsidR="005D7734" w:rsidRPr="005D7734">
        <w:tc>
          <w:tcPr>
            <w:tcW w:w="198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Очень легкий</w:t>
            </w:r>
          </w:p>
        </w:tc>
        <w:tc>
          <w:tcPr>
            <w:tcW w:w="7087" w:type="dxa"/>
            <w:vAlign w:val="bottom"/>
          </w:tcPr>
          <w:p w:rsidR="005D7734" w:rsidRPr="005D7734" w:rsidRDefault="005D7734">
            <w:pPr>
              <w:pStyle w:val="ConsPlusNormal"/>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Потенциальный вред от коррупционного риска крайне незначительный и может быть </w:t>
            </w:r>
            <w:proofErr w:type="spellStart"/>
            <w:r w:rsidRPr="005D7734">
              <w:rPr>
                <w:rFonts w:ascii="Times New Roman" w:hAnsi="Times New Roman" w:cs="Times New Roman"/>
                <w:color w:val="000000" w:themeColor="text1"/>
              </w:rPr>
              <w:t>администрирован</w:t>
            </w:r>
            <w:proofErr w:type="spellEnd"/>
            <w:r w:rsidRPr="005D7734">
              <w:rPr>
                <w:rFonts w:ascii="Times New Roman" w:hAnsi="Times New Roman" w:cs="Times New Roman"/>
                <w:color w:val="000000" w:themeColor="text1"/>
              </w:rPr>
              <w:t xml:space="preserve"> служащими (работниками) самостоятельно</w:t>
            </w:r>
          </w:p>
        </w:tc>
      </w:tr>
    </w:tbl>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w:t>
      </w:r>
    </w:p>
    <w:p w:rsidR="005D7734" w:rsidRPr="005D7734" w:rsidRDefault="005D7734">
      <w:pPr>
        <w:pStyle w:val="ConsPlusNormal"/>
        <w:spacing w:before="220"/>
        <w:ind w:firstLine="540"/>
        <w:jc w:val="both"/>
        <w:rPr>
          <w:rFonts w:ascii="Times New Roman" w:hAnsi="Times New Roman" w:cs="Times New Roman"/>
          <w:color w:val="000000" w:themeColor="text1"/>
        </w:rPr>
      </w:pPr>
      <w:bookmarkStart w:id="5" w:name="P258"/>
      <w:bookmarkEnd w:id="5"/>
      <w:r w:rsidRPr="005D7734">
        <w:rPr>
          <w:rFonts w:ascii="Times New Roman" w:hAnsi="Times New Roman" w:cs="Times New Roman"/>
          <w:color w:val="000000" w:themeColor="text1"/>
        </w:rPr>
        <w:t>&lt;7&gt;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3.32. Значимость коррупционного риска определяется сочетанием рассчитанных критериев посредством, например, использования матрицы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Пример простой матрицы коррупционных рисков представлен в таблице 3.</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right"/>
        <w:outlineLvl w:val="3"/>
        <w:rPr>
          <w:rFonts w:ascii="Times New Roman" w:hAnsi="Times New Roman" w:cs="Times New Roman"/>
          <w:color w:val="000000" w:themeColor="text1"/>
        </w:rPr>
      </w:pPr>
      <w:r w:rsidRPr="005D7734">
        <w:rPr>
          <w:rFonts w:ascii="Times New Roman" w:hAnsi="Times New Roman" w:cs="Times New Roman"/>
          <w:color w:val="000000" w:themeColor="text1"/>
        </w:rPr>
        <w:t>Таблица 3.</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jc w:val="center"/>
        <w:rPr>
          <w:rFonts w:ascii="Times New Roman" w:hAnsi="Times New Roman" w:cs="Times New Roman"/>
          <w:color w:val="000000" w:themeColor="text1"/>
        </w:rPr>
      </w:pPr>
      <w:r w:rsidRPr="005D7734">
        <w:rPr>
          <w:rFonts w:ascii="Times New Roman" w:hAnsi="Times New Roman" w:cs="Times New Roman"/>
          <w:color w:val="000000" w:themeColor="text1"/>
        </w:rPr>
        <w:t>Матрица коррупционных рисков</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position w:val="-163"/>
        </w:rPr>
        <w:pict>
          <v:shape id="_x0000_i1025" style="width:436.5pt;height:174.75pt" coordsize="" o:spt="100" adj="0,,0" path="" filled="f" stroked="f">
            <v:stroke joinstyle="miter"/>
            <v:imagedata r:id="rId19" o:title="base_1_363998_32768"/>
            <v:formulas/>
            <v:path o:connecttype="segments"/>
          </v:shape>
        </w:pic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bookmarkStart w:id="6" w:name="P269"/>
      <w:bookmarkEnd w:id="6"/>
      <w:r w:rsidRPr="005D7734">
        <w:rPr>
          <w:rFonts w:ascii="Times New Roman" w:hAnsi="Times New Roman" w:cs="Times New Roman"/>
          <w:color w:val="000000" w:themeColor="text1"/>
        </w:rPr>
        <w:t>3.33. Необходимо определить, какие коррупционные риски (их величины) требуют первоочередных действий. Например, в отношении матрицы коррупционных рисков формируется т.н. "граница толерантности", посредством которой определяется, какие риски находятся выше "границы толерантности" и, как следствие, требуют принятия мер по минимизации.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 отношении таких рисков рекомендуется осуществлять постоянный контроль и оперативно принять меры по их минимизации.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3.34. Ранжирование коррупционных рисков рекомендуется проводить для определения их </w:t>
      </w:r>
      <w:r w:rsidRPr="005D7734">
        <w:rPr>
          <w:rFonts w:ascii="Times New Roman" w:hAnsi="Times New Roman" w:cs="Times New Roman"/>
          <w:color w:val="000000" w:themeColor="text1"/>
        </w:rPr>
        <w:lastRenderedPageBreak/>
        <w:t>действительного статуса: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регулярно, в частности, для целей определения эффективности реализуемых мер по их минимизации;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при выявлении новых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при иных обстоятельствах.</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Выявление новых коррупционных рисков может оказать влияние на ранжирование других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Разработка мер по минимизации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bookmarkStart w:id="7" w:name="P280"/>
      <w:bookmarkEnd w:id="7"/>
      <w:r w:rsidRPr="005D7734">
        <w:rPr>
          <w:rFonts w:ascii="Times New Roman" w:hAnsi="Times New Roman" w:cs="Times New Roman"/>
          <w:color w:val="000000" w:themeColor="text1"/>
        </w:rPr>
        <w:t>3.35. Целью минимизации коррупционных рисков является снижение вероятности совершения коррупционного правонарушения и (или) возможного вреда от реализации такого риска (снижение до приемлемого уровня или его исключение).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3.36. Минимизация коррупционных рисков предполагает следующее: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определение возможных мер, направленных на минимизацию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определение коррупционных рисков, минимизация которых находится вне компетенции органа (организации), оценивающего коррупционные риски;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определение коррупционных рисков, требующих значительных ресурсов для их минимизации или исключения, которыми данный орган (организация) не располагает;</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выбор наиболее эффективных мер по минимизации;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определение ответственных за реализацию мероприятий по минимизации;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мониторинг реализации мер и их пересмотр (при необходимости) на регулярной основе.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3.37. 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3.38. 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w:t>
      </w:r>
      <w:hyperlink w:anchor="P269" w:history="1">
        <w:r w:rsidRPr="005D7734">
          <w:rPr>
            <w:rFonts w:ascii="Times New Roman" w:hAnsi="Times New Roman" w:cs="Times New Roman"/>
            <w:color w:val="000000" w:themeColor="text1"/>
          </w:rPr>
          <w:t>пункте 3.33</w:t>
        </w:r>
      </w:hyperlink>
      <w:r w:rsidRPr="005D7734">
        <w:rPr>
          <w:rFonts w:ascii="Times New Roman" w:hAnsi="Times New Roman" w:cs="Times New Roman"/>
          <w:color w:val="000000" w:themeColor="text1"/>
        </w:rPr>
        <w:t xml:space="preserve"> настоящих Методических рекомендаций.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3.39. При определении мер по минимизации коррупционных рисков рекомендуется руководствоваться следующим:</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меры должны быть конкретны и понятны: служащие (работники), которым адресована такая мера, должны осознавать ее суть;</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lastRenderedPageBreak/>
        <w:t>- установление срока (периодичности) реализации мер по минимизации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определение конкретного результата от реализации меры;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установление механизмов контроля и мониторинга;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определение персональной ответственности служащих (работников) (структурных подразделений органа (организации)), участвующих в реализации и (или) заинтересованных в реализации;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определение необходимых ресурсов;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аспекты.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3.40. Снижению коррупционных рисков при осуществлении закупок способствует следующее: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и недопущение влияния личной заинтересованности служащих (работников) на результаты таких процедур);</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повышение (улучшение) знаний и навыков служащих (работников), участвующих в осуществлении закупок;</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усиление контроля за недопущением совершения коррупционных правонарушений при осуществлении закупочных процедур;</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использование стандартизированных процедур и документов при осуществлении закупки "обычных" товаров, работ, услуг;</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проведение правового просвещения и информирования;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повышение качества юридической экспертизы конкурсной документации в целях исключения противоречивых условий исполнения контракта;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анализ обоснованности изменения условий контракта, причин затягивания (ускорения) сроков заключения (исполнения) контракта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3.41. Возможные меры по минимизации коррупционных рисков включают несколько основных блоков: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1) Организация и регламентация процессов, в том числе: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детальная регламентация этапа закупочной процедуры, связанной с коррупционными рисками (например, сведение к минимуму дискреционных полномочий служащего (работника));</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минимизация единоличных решений (разумное расширение круга лиц, без участия (согласования) которых не может быть принято решение);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минимизация ситуаций, при которых служащий (работник) совмещает функции по принятию решения, связанного с осуществлением закупки, и контролю за его исполнением;</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совершенствование механизма отбора служащих (работников) для участия в осуществлении закупок, направленное в том числе на выявление и урегулирование конфликта интересов;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меры.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2) Совершенствование контрольных и мониторинговых процедур, в том числе: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 регулярный мониторинг информации о возможных коррупционных правонарушениях, </w:t>
      </w:r>
      <w:r w:rsidRPr="005D7734">
        <w:rPr>
          <w:rFonts w:ascii="Times New Roman" w:hAnsi="Times New Roman" w:cs="Times New Roman"/>
          <w:color w:val="000000" w:themeColor="text1"/>
        </w:rPr>
        <w:lastRenderedPageBreak/>
        <w:t>совершенных служащими (работниками), в том числе на основе жалоб, содержащихся в обращениях граждан и организаций, публикаций в средствах массовой информации (например, создание эффективной "горячей линии");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совершенствование механизмов внутреннего контроля за исполнением служащими (работниками) своих обязанностей, с учетом вероятных способов обхода внедренных процедур контроля;</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меры.</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 Информационные и образовательные мероприятия, в том числе:</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размещение информации об ответственности за коррупционные правонарушения в помещении органа (организации), на официальном сайте органа (организации) в информационно-телекоммуникационной сети "Интернет", посредством рассылки на адреса электронных почт служащих (работников)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проведение методических совещаний, семинаров, круглых столов по вопросам противодействия коррупции в закупочной деятельности;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иные меры.</w:t>
      </w:r>
    </w:p>
    <w:p w:rsidR="005D7734" w:rsidRPr="005D7734" w:rsidRDefault="005D7734">
      <w:pPr>
        <w:pStyle w:val="ConsPlusNormal"/>
        <w:spacing w:before="220"/>
        <w:ind w:firstLine="540"/>
        <w:jc w:val="both"/>
        <w:rPr>
          <w:rFonts w:ascii="Times New Roman" w:hAnsi="Times New Roman" w:cs="Times New Roman"/>
          <w:color w:val="000000" w:themeColor="text1"/>
        </w:rPr>
      </w:pPr>
      <w:bookmarkStart w:id="8" w:name="P323"/>
      <w:bookmarkEnd w:id="8"/>
      <w:r w:rsidRPr="005D7734">
        <w:rPr>
          <w:rFonts w:ascii="Times New Roman" w:hAnsi="Times New Roman" w:cs="Times New Roman"/>
          <w:color w:val="000000" w:themeColor="text1"/>
        </w:rPr>
        <w:t>3.42. 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к возможным положительным результатам, т.н. "анализ "затраты - выгоды").</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Утверждение результатов оценки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3.43. 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w:t>
      </w:r>
      <w:hyperlink w:anchor="P373" w:history="1">
        <w:r w:rsidRPr="005D7734">
          <w:rPr>
            <w:rFonts w:ascii="Times New Roman" w:hAnsi="Times New Roman" w:cs="Times New Roman"/>
            <w:color w:val="000000" w:themeColor="text1"/>
          </w:rPr>
          <w:t>приложению N 2</w:t>
        </w:r>
      </w:hyperlink>
      <w:r w:rsidRPr="005D7734">
        <w:rPr>
          <w:rFonts w:ascii="Times New Roman" w:hAnsi="Times New Roman" w:cs="Times New Roman"/>
          <w:color w:val="000000" w:themeColor="text1"/>
        </w:rPr>
        <w:t xml:space="preserve"> к настоящим Методическим рекомендациям.</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3.44. 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о способах сбора информации, расчете используемых показателей при ранжировании коррупционных рисков, обосновании предлагаемых мер по минимизации, матрицу коррупционных рисков и т.д.</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3.45. Одновременно с реестром коррупционных рисков рекомендуется осуществить подготовку плана по минимизации коррупционных рисков по форме согласно </w:t>
      </w:r>
      <w:hyperlink w:anchor="P409" w:history="1">
        <w:r w:rsidRPr="005D7734">
          <w:rPr>
            <w:rFonts w:ascii="Times New Roman" w:hAnsi="Times New Roman" w:cs="Times New Roman"/>
            <w:color w:val="000000" w:themeColor="text1"/>
          </w:rPr>
          <w:t>приложению N 3</w:t>
        </w:r>
      </w:hyperlink>
      <w:r w:rsidRPr="005D7734">
        <w:rPr>
          <w:rFonts w:ascii="Times New Roman" w:hAnsi="Times New Roman" w:cs="Times New Roman"/>
          <w:color w:val="000000" w:themeColor="text1"/>
        </w:rPr>
        <w:t xml:space="preserve"> к настоящим Методическим рекомендациям.</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 xml:space="preserve">При подготовке плана по минимизации коррупционных рисков учитываются положения </w:t>
      </w:r>
      <w:hyperlink w:anchor="P280" w:history="1">
        <w:r w:rsidRPr="005D7734">
          <w:rPr>
            <w:rFonts w:ascii="Times New Roman" w:hAnsi="Times New Roman" w:cs="Times New Roman"/>
            <w:color w:val="000000" w:themeColor="text1"/>
          </w:rPr>
          <w:t>пунктов 3.35</w:t>
        </w:r>
      </w:hyperlink>
      <w:r w:rsidRPr="005D7734">
        <w:rPr>
          <w:rFonts w:ascii="Times New Roman" w:hAnsi="Times New Roman" w:cs="Times New Roman"/>
          <w:color w:val="000000" w:themeColor="text1"/>
        </w:rPr>
        <w:t xml:space="preserve"> - </w:t>
      </w:r>
      <w:hyperlink w:anchor="P323" w:history="1">
        <w:r w:rsidRPr="005D7734">
          <w:rPr>
            <w:rFonts w:ascii="Times New Roman" w:hAnsi="Times New Roman" w:cs="Times New Roman"/>
            <w:color w:val="000000" w:themeColor="text1"/>
          </w:rPr>
          <w:t>3.42</w:t>
        </w:r>
      </w:hyperlink>
      <w:r w:rsidRPr="005D7734">
        <w:rPr>
          <w:rFonts w:ascii="Times New Roman" w:hAnsi="Times New Roman" w:cs="Times New Roman"/>
          <w:color w:val="000000" w:themeColor="text1"/>
        </w:rPr>
        <w:t xml:space="preserve"> настоящих Методических рекомендаций.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3.46. 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с предупреждением коррупции (при наличии) &lt;8&gt;.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&lt;8&gt; Например, на заседании комиссии по соблюдению требований к служебному поведению и урегулированию конфликта интересов (аттестационной комиссии).</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Рекомендуется установить конкретный срок рассмотрения проектов реестра коррупционных рисков и плана по минимизации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При необходимости проекты реестра коррупционных рисков и плана по минимизации коррупционных рисков дорабатываются с учетом поступивших письменных предложений и замечаний.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3.47. 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"Интернет".</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ind w:firstLine="540"/>
        <w:jc w:val="both"/>
        <w:outlineLvl w:val="2"/>
        <w:rPr>
          <w:rFonts w:ascii="Times New Roman" w:hAnsi="Times New Roman" w:cs="Times New Roman"/>
          <w:color w:val="000000" w:themeColor="text1"/>
        </w:rPr>
      </w:pPr>
      <w:r w:rsidRPr="005D7734">
        <w:rPr>
          <w:rFonts w:ascii="Times New Roman" w:hAnsi="Times New Roman" w:cs="Times New Roman"/>
          <w:color w:val="000000" w:themeColor="text1"/>
        </w:rPr>
        <w:t>Мониторинг реализации мер по минимизации выявленных коррупционных рисков</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3.48. 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по минимизации.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3.49. Мониторинг целесообразно проводить на регулярной основе (например, раз в полгода), а также по мере необходимости.</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3.50. 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осуществлять подразделению по профилактике коррупционных правонарушений.</w:t>
      </w:r>
    </w:p>
    <w:p w:rsidR="005D7734" w:rsidRPr="005D7734" w:rsidRDefault="005D7734">
      <w:pPr>
        <w:pStyle w:val="ConsPlusNormal"/>
        <w:spacing w:before="220"/>
        <w:ind w:firstLine="540"/>
        <w:jc w:val="both"/>
        <w:rPr>
          <w:rFonts w:ascii="Times New Roman" w:hAnsi="Times New Roman" w:cs="Times New Roman"/>
          <w:color w:val="000000" w:themeColor="text1"/>
        </w:rPr>
      </w:pPr>
      <w:r w:rsidRPr="005D7734">
        <w:rPr>
          <w:rFonts w:ascii="Times New Roman" w:hAnsi="Times New Roman" w:cs="Times New Roman"/>
          <w:color w:val="000000" w:themeColor="text1"/>
        </w:rPr>
        <w:t>3.51. 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right"/>
        <w:outlineLvl w:val="0"/>
        <w:rPr>
          <w:rFonts w:ascii="Times New Roman" w:hAnsi="Times New Roman" w:cs="Times New Roman"/>
          <w:color w:val="000000" w:themeColor="text1"/>
        </w:rPr>
      </w:pPr>
      <w:r w:rsidRPr="005D7734">
        <w:rPr>
          <w:rFonts w:ascii="Times New Roman" w:hAnsi="Times New Roman" w:cs="Times New Roman"/>
          <w:color w:val="000000" w:themeColor="text1"/>
        </w:rPr>
        <w:t>Приложение N 1</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Title"/>
        <w:jc w:val="center"/>
        <w:rPr>
          <w:rFonts w:ascii="Times New Roman" w:hAnsi="Times New Roman" w:cs="Times New Roman"/>
          <w:color w:val="000000" w:themeColor="text1"/>
        </w:rPr>
      </w:pPr>
      <w:bookmarkStart w:id="9" w:name="P350"/>
      <w:bookmarkEnd w:id="9"/>
      <w:r w:rsidRPr="005D7734">
        <w:rPr>
          <w:rFonts w:ascii="Times New Roman" w:hAnsi="Times New Roman" w:cs="Times New Roman"/>
          <w:color w:val="000000" w:themeColor="text1"/>
        </w:rPr>
        <w:t>ФУНКЦИОНАЛЬНЫЕ ЭЛЕМЕНТЫ БЛОК-СХЕМЫ</w:t>
      </w:r>
    </w:p>
    <w:p w:rsidR="005D7734" w:rsidRPr="005D7734" w:rsidRDefault="005D7734">
      <w:pPr>
        <w:pStyle w:val="ConsPlusNormal"/>
        <w:jc w:val="both"/>
        <w:rPr>
          <w:rFonts w:ascii="Times New Roman" w:hAnsi="Times New Roman" w:cs="Times New Roman"/>
          <w:color w:val="000000" w:themeColor="text1"/>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5D7734" w:rsidRPr="005D7734">
        <w:tc>
          <w:tcPr>
            <w:tcW w:w="3798" w:type="dxa"/>
            <w:tcBorders>
              <w:left w:val="nil"/>
            </w:tcBorders>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Изображение элемента</w:t>
            </w:r>
          </w:p>
        </w:tc>
        <w:tc>
          <w:tcPr>
            <w:tcW w:w="5272" w:type="dxa"/>
            <w:tcBorders>
              <w:right w:val="nil"/>
            </w:tcBorders>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Описание</w:t>
            </w:r>
          </w:p>
        </w:tc>
      </w:tr>
      <w:tr w:rsidR="005D7734" w:rsidRPr="005D7734">
        <w:tc>
          <w:tcPr>
            <w:tcW w:w="3798" w:type="dxa"/>
            <w:tcBorders>
              <w:left w:val="nil"/>
            </w:tcBorders>
            <w:vAlign w:val="center"/>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position w:val="-29"/>
              </w:rPr>
              <w:pict>
                <v:shape id="_x0000_i1026" style="width:113.25pt;height:41.25pt" coordsize="" o:spt="100" adj="0,,0" path="" filled="f" stroked="f">
                  <v:stroke joinstyle="miter"/>
                  <v:imagedata r:id="rId20" o:title="base_1_363998_32769"/>
                  <v:formulas/>
                  <v:path o:connecttype="segments"/>
                </v:shape>
              </w:pict>
            </w:r>
          </w:p>
        </w:tc>
        <w:tc>
          <w:tcPr>
            <w:tcW w:w="5272" w:type="dxa"/>
            <w:tcBorders>
              <w:right w:val="nil"/>
            </w:tcBorders>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Начало (конец) процедуры осуществления закупки</w:t>
            </w:r>
          </w:p>
        </w:tc>
      </w:tr>
      <w:tr w:rsidR="005D7734" w:rsidRPr="005D7734">
        <w:tc>
          <w:tcPr>
            <w:tcW w:w="3798" w:type="dxa"/>
            <w:tcBorders>
              <w:left w:val="nil"/>
            </w:tcBorders>
            <w:vAlign w:val="center"/>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position w:val="-28"/>
              </w:rPr>
              <w:pict>
                <v:shape id="_x0000_i1027" style="width:114.75pt;height:39.75pt" coordsize="" o:spt="100" adj="0,,0" path="" filled="f" stroked="f">
                  <v:stroke joinstyle="miter"/>
                  <v:imagedata r:id="rId21" o:title="base_1_363998_32770"/>
                  <v:formulas/>
                  <v:path o:connecttype="segments"/>
                </v:shape>
              </w:pict>
            </w:r>
          </w:p>
        </w:tc>
        <w:tc>
          <w:tcPr>
            <w:tcW w:w="5272" w:type="dxa"/>
            <w:tcBorders>
              <w:right w:val="nil"/>
            </w:tcBorders>
            <w:vAlign w:val="center"/>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Ввод или вывод данных (результата), возникающего при осуществлении закупки</w:t>
            </w:r>
          </w:p>
        </w:tc>
      </w:tr>
      <w:tr w:rsidR="005D7734" w:rsidRPr="005D7734">
        <w:tc>
          <w:tcPr>
            <w:tcW w:w="3798" w:type="dxa"/>
            <w:tcBorders>
              <w:left w:val="nil"/>
            </w:tcBorders>
            <w:vAlign w:val="center"/>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position w:val="-29"/>
              </w:rPr>
              <w:pict>
                <v:shape id="_x0000_i1028" style="width:114pt;height:41.25pt" coordsize="" o:spt="100" adj="0,,0" path="" filled="f" stroked="f">
                  <v:stroke joinstyle="miter"/>
                  <v:imagedata r:id="rId22" o:title="base_1_363998_32771"/>
                  <v:formulas/>
                  <v:path o:connecttype="segments"/>
                </v:shape>
              </w:pict>
            </w:r>
          </w:p>
        </w:tc>
        <w:tc>
          <w:tcPr>
            <w:tcW w:w="5272" w:type="dxa"/>
            <w:tcBorders>
              <w:right w:val="nil"/>
            </w:tcBorders>
            <w:vAlign w:val="center"/>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Выполнение действия, необходимого для осуществления закупки</w:t>
            </w:r>
          </w:p>
        </w:tc>
      </w:tr>
      <w:tr w:rsidR="005D7734" w:rsidRPr="005D7734">
        <w:tc>
          <w:tcPr>
            <w:tcW w:w="3798" w:type="dxa"/>
            <w:tcBorders>
              <w:left w:val="nil"/>
            </w:tcBorders>
            <w:vAlign w:val="center"/>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position w:val="-29"/>
              </w:rPr>
              <w:pict>
                <v:shape id="_x0000_i1029" style="width:117pt;height:40.5pt" coordsize="" o:spt="100" adj="0,,0" path="" filled="f" stroked="f">
                  <v:stroke joinstyle="miter"/>
                  <v:imagedata r:id="rId23" o:title="base_1_363998_32772"/>
                  <v:formulas/>
                  <v:path o:connecttype="segments"/>
                </v:shape>
              </w:pict>
            </w:r>
          </w:p>
        </w:tc>
        <w:tc>
          <w:tcPr>
            <w:tcW w:w="5272" w:type="dxa"/>
            <w:tcBorders>
              <w:right w:val="nil"/>
            </w:tcBorders>
            <w:vAlign w:val="center"/>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Принятие решения при осуществлении закупки</w:t>
            </w:r>
          </w:p>
        </w:tc>
      </w:tr>
      <w:tr w:rsidR="005D7734" w:rsidRPr="005D7734">
        <w:tc>
          <w:tcPr>
            <w:tcW w:w="3798" w:type="dxa"/>
            <w:tcBorders>
              <w:left w:val="nil"/>
            </w:tcBorders>
            <w:vAlign w:val="center"/>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position w:val="-30"/>
              </w:rPr>
              <w:lastRenderedPageBreak/>
              <w:pict>
                <v:shape id="_x0000_i1030" style="width:114pt;height:41.25pt" coordsize="" o:spt="100" adj="0,,0" path="" filled="f" stroked="f">
                  <v:stroke joinstyle="miter"/>
                  <v:imagedata r:id="rId24" o:title="base_1_363998_32773"/>
                  <v:formulas/>
                  <v:path o:connecttype="segments"/>
                </v:shape>
              </w:pict>
            </w:r>
          </w:p>
        </w:tc>
        <w:tc>
          <w:tcPr>
            <w:tcW w:w="5272" w:type="dxa"/>
            <w:tcBorders>
              <w:right w:val="nil"/>
            </w:tcBorders>
            <w:vAlign w:val="bottom"/>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Цикличный процесс, возникающий в процедуре закупки</w:t>
            </w:r>
          </w:p>
        </w:tc>
      </w:tr>
      <w:tr w:rsidR="005D7734" w:rsidRPr="005D7734">
        <w:tc>
          <w:tcPr>
            <w:tcW w:w="3798" w:type="dxa"/>
            <w:tcBorders>
              <w:left w:val="nil"/>
            </w:tcBorders>
            <w:vAlign w:val="center"/>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position w:val="-30"/>
              </w:rPr>
              <w:pict>
                <v:shape id="_x0000_i1031" style="width:81.75pt;height:41.25pt" coordsize="" o:spt="100" adj="0,,0" path="" filled="f" stroked="f">
                  <v:stroke joinstyle="miter"/>
                  <v:imagedata r:id="rId25" o:title="base_1_363998_32774"/>
                  <v:formulas/>
                  <v:path o:connecttype="segments"/>
                </v:shape>
              </w:pict>
            </w:r>
          </w:p>
        </w:tc>
        <w:tc>
          <w:tcPr>
            <w:tcW w:w="5272" w:type="dxa"/>
            <w:tcBorders>
              <w:right w:val="nil"/>
            </w:tcBorders>
            <w:vAlign w:val="center"/>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Направляющие (указание последовательности)</w:t>
            </w:r>
          </w:p>
        </w:tc>
      </w:tr>
    </w:tbl>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right"/>
        <w:outlineLvl w:val="0"/>
        <w:rPr>
          <w:rFonts w:ascii="Times New Roman" w:hAnsi="Times New Roman" w:cs="Times New Roman"/>
          <w:color w:val="000000" w:themeColor="text1"/>
        </w:rPr>
      </w:pPr>
      <w:r w:rsidRPr="005D7734">
        <w:rPr>
          <w:rFonts w:ascii="Times New Roman" w:hAnsi="Times New Roman" w:cs="Times New Roman"/>
          <w:color w:val="000000" w:themeColor="text1"/>
        </w:rPr>
        <w:t>Приложение N 2</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center"/>
        <w:rPr>
          <w:rFonts w:ascii="Times New Roman" w:hAnsi="Times New Roman" w:cs="Times New Roman"/>
          <w:color w:val="000000" w:themeColor="text1"/>
        </w:rPr>
      </w:pPr>
      <w:bookmarkStart w:id="10" w:name="P373"/>
      <w:bookmarkEnd w:id="10"/>
      <w:r w:rsidRPr="005D7734">
        <w:rPr>
          <w:rFonts w:ascii="Times New Roman" w:hAnsi="Times New Roman" w:cs="Times New Roman"/>
          <w:color w:val="000000" w:themeColor="text1"/>
        </w:rPr>
        <w:t>Рекомендуемая форма</w:t>
      </w:r>
    </w:p>
    <w:p w:rsidR="005D7734" w:rsidRPr="005D7734" w:rsidRDefault="005D7734">
      <w:pPr>
        <w:pStyle w:val="ConsPlusNormal"/>
        <w:jc w:val="center"/>
        <w:rPr>
          <w:rFonts w:ascii="Times New Roman" w:hAnsi="Times New Roman" w:cs="Times New Roman"/>
          <w:color w:val="000000" w:themeColor="text1"/>
        </w:rPr>
      </w:pPr>
      <w:proofErr w:type="gramStart"/>
      <w:r w:rsidRPr="005D7734">
        <w:rPr>
          <w:rFonts w:ascii="Times New Roman" w:hAnsi="Times New Roman" w:cs="Times New Roman"/>
          <w:color w:val="000000" w:themeColor="text1"/>
        </w:rPr>
        <w:t>реестра</w:t>
      </w:r>
      <w:proofErr w:type="gramEnd"/>
      <w:r w:rsidRPr="005D7734">
        <w:rPr>
          <w:rFonts w:ascii="Times New Roman" w:hAnsi="Times New Roman" w:cs="Times New Roman"/>
          <w:color w:val="000000" w:themeColor="text1"/>
        </w:rPr>
        <w:t xml:space="preserve"> (карты) коррупционных рисков, возникающих</w:t>
      </w:r>
    </w:p>
    <w:p w:rsidR="005D7734" w:rsidRPr="005D7734" w:rsidRDefault="005D7734">
      <w:pPr>
        <w:pStyle w:val="ConsPlusNormal"/>
        <w:jc w:val="center"/>
        <w:rPr>
          <w:rFonts w:ascii="Times New Roman" w:hAnsi="Times New Roman" w:cs="Times New Roman"/>
          <w:color w:val="000000" w:themeColor="text1"/>
        </w:rPr>
      </w:pPr>
      <w:proofErr w:type="gramStart"/>
      <w:r w:rsidRPr="005D7734">
        <w:rPr>
          <w:rFonts w:ascii="Times New Roman" w:hAnsi="Times New Roman" w:cs="Times New Roman"/>
          <w:color w:val="000000" w:themeColor="text1"/>
        </w:rPr>
        <w:t>при</w:t>
      </w:r>
      <w:proofErr w:type="gramEnd"/>
      <w:r w:rsidRPr="005D7734">
        <w:rPr>
          <w:rFonts w:ascii="Times New Roman" w:hAnsi="Times New Roman" w:cs="Times New Roman"/>
          <w:color w:val="000000" w:themeColor="text1"/>
        </w:rPr>
        <w:t xml:space="preserve"> осуществлении закупок</w:t>
      </w:r>
    </w:p>
    <w:p w:rsidR="005D7734" w:rsidRPr="005D7734" w:rsidRDefault="005D773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1474"/>
        <w:gridCol w:w="1871"/>
        <w:gridCol w:w="1587"/>
        <w:gridCol w:w="1757"/>
      </w:tblGrid>
      <w:tr w:rsidR="005D7734" w:rsidRPr="005D7734">
        <w:tc>
          <w:tcPr>
            <w:tcW w:w="624" w:type="dxa"/>
            <w:vMerge w:val="restart"/>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N п/п</w:t>
            </w:r>
          </w:p>
        </w:tc>
        <w:tc>
          <w:tcPr>
            <w:tcW w:w="1757" w:type="dxa"/>
            <w:vMerge w:val="restart"/>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Краткое наименование коррупционного риска</w:t>
            </w:r>
          </w:p>
        </w:tc>
        <w:tc>
          <w:tcPr>
            <w:tcW w:w="1474" w:type="dxa"/>
            <w:vMerge w:val="restart"/>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Описание возможной коррупционной схемы</w:t>
            </w:r>
          </w:p>
        </w:tc>
        <w:tc>
          <w:tcPr>
            <w:tcW w:w="1871" w:type="dxa"/>
            <w:vMerge w:val="restart"/>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Наименование должностей служащих (работников), которые могут участвовать в реализации коррупционной схемы</w:t>
            </w:r>
          </w:p>
        </w:tc>
        <w:tc>
          <w:tcPr>
            <w:tcW w:w="3344" w:type="dxa"/>
            <w:gridSpan w:val="2"/>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Меры по минимизации коррупционных рисков</w:t>
            </w:r>
          </w:p>
        </w:tc>
      </w:tr>
      <w:tr w:rsidR="005D7734" w:rsidRPr="005D7734">
        <w:tc>
          <w:tcPr>
            <w:tcW w:w="624" w:type="dxa"/>
            <w:vMerge/>
          </w:tcPr>
          <w:p w:rsidR="005D7734" w:rsidRPr="005D7734" w:rsidRDefault="005D7734">
            <w:pPr>
              <w:spacing w:after="1" w:line="0" w:lineRule="atLeast"/>
              <w:rPr>
                <w:rFonts w:ascii="Times New Roman" w:hAnsi="Times New Roman" w:cs="Times New Roman"/>
                <w:color w:val="000000" w:themeColor="text1"/>
              </w:rPr>
            </w:pPr>
          </w:p>
        </w:tc>
        <w:tc>
          <w:tcPr>
            <w:tcW w:w="1757" w:type="dxa"/>
            <w:vMerge/>
          </w:tcPr>
          <w:p w:rsidR="005D7734" w:rsidRPr="005D7734" w:rsidRDefault="005D7734">
            <w:pPr>
              <w:spacing w:after="1" w:line="0" w:lineRule="atLeast"/>
              <w:rPr>
                <w:rFonts w:ascii="Times New Roman" w:hAnsi="Times New Roman" w:cs="Times New Roman"/>
                <w:color w:val="000000" w:themeColor="text1"/>
              </w:rPr>
            </w:pPr>
          </w:p>
        </w:tc>
        <w:tc>
          <w:tcPr>
            <w:tcW w:w="1474" w:type="dxa"/>
            <w:vMerge/>
          </w:tcPr>
          <w:p w:rsidR="005D7734" w:rsidRPr="005D7734" w:rsidRDefault="005D7734">
            <w:pPr>
              <w:spacing w:after="1" w:line="0" w:lineRule="atLeast"/>
              <w:rPr>
                <w:rFonts w:ascii="Times New Roman" w:hAnsi="Times New Roman" w:cs="Times New Roman"/>
                <w:color w:val="000000" w:themeColor="text1"/>
              </w:rPr>
            </w:pPr>
          </w:p>
        </w:tc>
        <w:tc>
          <w:tcPr>
            <w:tcW w:w="1871" w:type="dxa"/>
            <w:vMerge/>
          </w:tcPr>
          <w:p w:rsidR="005D7734" w:rsidRPr="005D7734" w:rsidRDefault="005D7734">
            <w:pPr>
              <w:spacing w:after="1" w:line="0" w:lineRule="atLeast"/>
              <w:rPr>
                <w:rFonts w:ascii="Times New Roman" w:hAnsi="Times New Roman" w:cs="Times New Roman"/>
                <w:color w:val="000000" w:themeColor="text1"/>
              </w:rPr>
            </w:pPr>
          </w:p>
        </w:tc>
        <w:tc>
          <w:tcPr>
            <w:tcW w:w="1587"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Реализуемые</w:t>
            </w:r>
          </w:p>
        </w:tc>
        <w:tc>
          <w:tcPr>
            <w:tcW w:w="1757"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Предлагаемые</w:t>
            </w:r>
          </w:p>
        </w:tc>
      </w:tr>
      <w:tr w:rsidR="005D7734" w:rsidRPr="005D7734">
        <w:tc>
          <w:tcPr>
            <w:tcW w:w="62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1.</w:t>
            </w:r>
          </w:p>
        </w:tc>
        <w:tc>
          <w:tcPr>
            <w:tcW w:w="1757" w:type="dxa"/>
          </w:tcPr>
          <w:p w:rsidR="005D7734" w:rsidRPr="005D7734" w:rsidRDefault="005D7734">
            <w:pPr>
              <w:pStyle w:val="ConsPlusNormal"/>
              <w:rPr>
                <w:rFonts w:ascii="Times New Roman" w:hAnsi="Times New Roman" w:cs="Times New Roman"/>
                <w:color w:val="000000" w:themeColor="text1"/>
              </w:rPr>
            </w:pPr>
          </w:p>
        </w:tc>
        <w:tc>
          <w:tcPr>
            <w:tcW w:w="1474" w:type="dxa"/>
          </w:tcPr>
          <w:p w:rsidR="005D7734" w:rsidRPr="005D7734" w:rsidRDefault="005D7734">
            <w:pPr>
              <w:pStyle w:val="ConsPlusNormal"/>
              <w:rPr>
                <w:rFonts w:ascii="Times New Roman" w:hAnsi="Times New Roman" w:cs="Times New Roman"/>
                <w:color w:val="000000" w:themeColor="text1"/>
              </w:rPr>
            </w:pPr>
          </w:p>
        </w:tc>
        <w:tc>
          <w:tcPr>
            <w:tcW w:w="1871" w:type="dxa"/>
          </w:tcPr>
          <w:p w:rsidR="005D7734" w:rsidRPr="005D7734" w:rsidRDefault="005D7734">
            <w:pPr>
              <w:pStyle w:val="ConsPlusNormal"/>
              <w:rPr>
                <w:rFonts w:ascii="Times New Roman" w:hAnsi="Times New Roman" w:cs="Times New Roman"/>
                <w:color w:val="000000" w:themeColor="text1"/>
              </w:rPr>
            </w:pPr>
          </w:p>
        </w:tc>
        <w:tc>
          <w:tcPr>
            <w:tcW w:w="1587" w:type="dxa"/>
          </w:tcPr>
          <w:p w:rsidR="005D7734" w:rsidRPr="005D7734" w:rsidRDefault="005D7734">
            <w:pPr>
              <w:pStyle w:val="ConsPlusNormal"/>
              <w:rPr>
                <w:rFonts w:ascii="Times New Roman" w:hAnsi="Times New Roman" w:cs="Times New Roman"/>
                <w:color w:val="000000" w:themeColor="text1"/>
              </w:rPr>
            </w:pPr>
          </w:p>
        </w:tc>
        <w:tc>
          <w:tcPr>
            <w:tcW w:w="1757" w:type="dxa"/>
          </w:tcPr>
          <w:p w:rsidR="005D7734" w:rsidRPr="005D7734" w:rsidRDefault="005D7734">
            <w:pPr>
              <w:pStyle w:val="ConsPlusNormal"/>
              <w:rPr>
                <w:rFonts w:ascii="Times New Roman" w:hAnsi="Times New Roman" w:cs="Times New Roman"/>
                <w:color w:val="000000" w:themeColor="text1"/>
              </w:rPr>
            </w:pPr>
          </w:p>
        </w:tc>
      </w:tr>
      <w:tr w:rsidR="005D7734" w:rsidRPr="005D7734">
        <w:tc>
          <w:tcPr>
            <w:tcW w:w="62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2.</w:t>
            </w:r>
          </w:p>
        </w:tc>
        <w:tc>
          <w:tcPr>
            <w:tcW w:w="1757" w:type="dxa"/>
          </w:tcPr>
          <w:p w:rsidR="005D7734" w:rsidRPr="005D7734" w:rsidRDefault="005D7734">
            <w:pPr>
              <w:pStyle w:val="ConsPlusNormal"/>
              <w:rPr>
                <w:rFonts w:ascii="Times New Roman" w:hAnsi="Times New Roman" w:cs="Times New Roman"/>
                <w:color w:val="000000" w:themeColor="text1"/>
              </w:rPr>
            </w:pPr>
          </w:p>
        </w:tc>
        <w:tc>
          <w:tcPr>
            <w:tcW w:w="1474" w:type="dxa"/>
          </w:tcPr>
          <w:p w:rsidR="005D7734" w:rsidRPr="005D7734" w:rsidRDefault="005D7734">
            <w:pPr>
              <w:pStyle w:val="ConsPlusNormal"/>
              <w:rPr>
                <w:rFonts w:ascii="Times New Roman" w:hAnsi="Times New Roman" w:cs="Times New Roman"/>
                <w:color w:val="000000" w:themeColor="text1"/>
              </w:rPr>
            </w:pPr>
          </w:p>
        </w:tc>
        <w:tc>
          <w:tcPr>
            <w:tcW w:w="1871" w:type="dxa"/>
          </w:tcPr>
          <w:p w:rsidR="005D7734" w:rsidRPr="005D7734" w:rsidRDefault="005D7734">
            <w:pPr>
              <w:pStyle w:val="ConsPlusNormal"/>
              <w:rPr>
                <w:rFonts w:ascii="Times New Roman" w:hAnsi="Times New Roman" w:cs="Times New Roman"/>
                <w:color w:val="000000" w:themeColor="text1"/>
              </w:rPr>
            </w:pPr>
          </w:p>
        </w:tc>
        <w:tc>
          <w:tcPr>
            <w:tcW w:w="1587" w:type="dxa"/>
          </w:tcPr>
          <w:p w:rsidR="005D7734" w:rsidRPr="005D7734" w:rsidRDefault="005D7734">
            <w:pPr>
              <w:pStyle w:val="ConsPlusNormal"/>
              <w:rPr>
                <w:rFonts w:ascii="Times New Roman" w:hAnsi="Times New Roman" w:cs="Times New Roman"/>
                <w:color w:val="000000" w:themeColor="text1"/>
              </w:rPr>
            </w:pPr>
          </w:p>
        </w:tc>
        <w:tc>
          <w:tcPr>
            <w:tcW w:w="1757" w:type="dxa"/>
          </w:tcPr>
          <w:p w:rsidR="005D7734" w:rsidRPr="005D7734" w:rsidRDefault="005D7734">
            <w:pPr>
              <w:pStyle w:val="ConsPlusNormal"/>
              <w:rPr>
                <w:rFonts w:ascii="Times New Roman" w:hAnsi="Times New Roman" w:cs="Times New Roman"/>
                <w:color w:val="000000" w:themeColor="text1"/>
              </w:rPr>
            </w:pPr>
          </w:p>
        </w:tc>
      </w:tr>
      <w:tr w:rsidR="005D7734" w:rsidRPr="005D7734">
        <w:tc>
          <w:tcPr>
            <w:tcW w:w="62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3.</w:t>
            </w:r>
          </w:p>
        </w:tc>
        <w:tc>
          <w:tcPr>
            <w:tcW w:w="1757" w:type="dxa"/>
          </w:tcPr>
          <w:p w:rsidR="005D7734" w:rsidRPr="005D7734" w:rsidRDefault="005D7734">
            <w:pPr>
              <w:pStyle w:val="ConsPlusNormal"/>
              <w:rPr>
                <w:rFonts w:ascii="Times New Roman" w:hAnsi="Times New Roman" w:cs="Times New Roman"/>
                <w:color w:val="000000" w:themeColor="text1"/>
              </w:rPr>
            </w:pPr>
          </w:p>
        </w:tc>
        <w:tc>
          <w:tcPr>
            <w:tcW w:w="1474" w:type="dxa"/>
          </w:tcPr>
          <w:p w:rsidR="005D7734" w:rsidRPr="005D7734" w:rsidRDefault="005D7734">
            <w:pPr>
              <w:pStyle w:val="ConsPlusNormal"/>
              <w:rPr>
                <w:rFonts w:ascii="Times New Roman" w:hAnsi="Times New Roman" w:cs="Times New Roman"/>
                <w:color w:val="000000" w:themeColor="text1"/>
              </w:rPr>
            </w:pPr>
          </w:p>
        </w:tc>
        <w:tc>
          <w:tcPr>
            <w:tcW w:w="1871" w:type="dxa"/>
          </w:tcPr>
          <w:p w:rsidR="005D7734" w:rsidRPr="005D7734" w:rsidRDefault="005D7734">
            <w:pPr>
              <w:pStyle w:val="ConsPlusNormal"/>
              <w:rPr>
                <w:rFonts w:ascii="Times New Roman" w:hAnsi="Times New Roman" w:cs="Times New Roman"/>
                <w:color w:val="000000" w:themeColor="text1"/>
              </w:rPr>
            </w:pPr>
          </w:p>
        </w:tc>
        <w:tc>
          <w:tcPr>
            <w:tcW w:w="1587" w:type="dxa"/>
          </w:tcPr>
          <w:p w:rsidR="005D7734" w:rsidRPr="005D7734" w:rsidRDefault="005D7734">
            <w:pPr>
              <w:pStyle w:val="ConsPlusNormal"/>
              <w:rPr>
                <w:rFonts w:ascii="Times New Roman" w:hAnsi="Times New Roman" w:cs="Times New Roman"/>
                <w:color w:val="000000" w:themeColor="text1"/>
              </w:rPr>
            </w:pPr>
          </w:p>
        </w:tc>
        <w:tc>
          <w:tcPr>
            <w:tcW w:w="1757" w:type="dxa"/>
          </w:tcPr>
          <w:p w:rsidR="005D7734" w:rsidRPr="005D7734" w:rsidRDefault="005D7734">
            <w:pPr>
              <w:pStyle w:val="ConsPlusNormal"/>
              <w:rPr>
                <w:rFonts w:ascii="Times New Roman" w:hAnsi="Times New Roman" w:cs="Times New Roman"/>
                <w:color w:val="000000" w:themeColor="text1"/>
              </w:rPr>
            </w:pPr>
          </w:p>
        </w:tc>
      </w:tr>
    </w:tbl>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right"/>
        <w:outlineLvl w:val="0"/>
        <w:rPr>
          <w:rFonts w:ascii="Times New Roman" w:hAnsi="Times New Roman" w:cs="Times New Roman"/>
          <w:color w:val="000000" w:themeColor="text1"/>
        </w:rPr>
      </w:pPr>
      <w:r w:rsidRPr="005D7734">
        <w:rPr>
          <w:rFonts w:ascii="Times New Roman" w:hAnsi="Times New Roman" w:cs="Times New Roman"/>
          <w:color w:val="000000" w:themeColor="text1"/>
        </w:rPr>
        <w:t>Приложение N 3</w:t>
      </w:r>
    </w:p>
    <w:p w:rsidR="005D7734" w:rsidRPr="005D7734" w:rsidRDefault="005D7734">
      <w:pPr>
        <w:pStyle w:val="ConsPlusNormal"/>
        <w:jc w:val="both"/>
        <w:rPr>
          <w:rFonts w:ascii="Times New Roman" w:hAnsi="Times New Roman" w:cs="Times New Roman"/>
          <w:color w:val="000000" w:themeColor="text1"/>
        </w:rPr>
      </w:pPr>
    </w:p>
    <w:p w:rsidR="005D7734" w:rsidRPr="005D7734" w:rsidRDefault="005D7734">
      <w:pPr>
        <w:pStyle w:val="ConsPlusNormal"/>
        <w:jc w:val="center"/>
        <w:rPr>
          <w:rFonts w:ascii="Times New Roman" w:hAnsi="Times New Roman" w:cs="Times New Roman"/>
          <w:color w:val="000000" w:themeColor="text1"/>
        </w:rPr>
      </w:pPr>
      <w:bookmarkStart w:id="11" w:name="P409"/>
      <w:bookmarkEnd w:id="11"/>
      <w:r w:rsidRPr="005D7734">
        <w:rPr>
          <w:rFonts w:ascii="Times New Roman" w:hAnsi="Times New Roman" w:cs="Times New Roman"/>
          <w:color w:val="000000" w:themeColor="text1"/>
        </w:rPr>
        <w:t>Рекомендуемая форма</w:t>
      </w:r>
    </w:p>
    <w:p w:rsidR="005D7734" w:rsidRPr="005D7734" w:rsidRDefault="005D7734">
      <w:pPr>
        <w:pStyle w:val="ConsPlusNormal"/>
        <w:jc w:val="center"/>
        <w:rPr>
          <w:rFonts w:ascii="Times New Roman" w:hAnsi="Times New Roman" w:cs="Times New Roman"/>
          <w:color w:val="000000" w:themeColor="text1"/>
        </w:rPr>
      </w:pPr>
      <w:proofErr w:type="gramStart"/>
      <w:r w:rsidRPr="005D7734">
        <w:rPr>
          <w:rFonts w:ascii="Times New Roman" w:hAnsi="Times New Roman" w:cs="Times New Roman"/>
          <w:color w:val="000000" w:themeColor="text1"/>
        </w:rPr>
        <w:t>плана</w:t>
      </w:r>
      <w:proofErr w:type="gramEnd"/>
      <w:r w:rsidRPr="005D7734">
        <w:rPr>
          <w:rFonts w:ascii="Times New Roman" w:hAnsi="Times New Roman" w:cs="Times New Roman"/>
          <w:color w:val="000000" w:themeColor="text1"/>
        </w:rPr>
        <w:t xml:space="preserve"> (реестра) мер, направленных на минимизацию</w:t>
      </w:r>
    </w:p>
    <w:p w:rsidR="005D7734" w:rsidRPr="005D7734" w:rsidRDefault="005D7734">
      <w:pPr>
        <w:pStyle w:val="ConsPlusNormal"/>
        <w:jc w:val="center"/>
        <w:rPr>
          <w:rFonts w:ascii="Times New Roman" w:hAnsi="Times New Roman" w:cs="Times New Roman"/>
          <w:color w:val="000000" w:themeColor="text1"/>
        </w:rPr>
      </w:pPr>
      <w:proofErr w:type="gramStart"/>
      <w:r w:rsidRPr="005D7734">
        <w:rPr>
          <w:rFonts w:ascii="Times New Roman" w:hAnsi="Times New Roman" w:cs="Times New Roman"/>
          <w:color w:val="000000" w:themeColor="text1"/>
        </w:rPr>
        <w:t>коррупционных</w:t>
      </w:r>
      <w:proofErr w:type="gramEnd"/>
      <w:r w:rsidRPr="005D7734">
        <w:rPr>
          <w:rFonts w:ascii="Times New Roman" w:hAnsi="Times New Roman" w:cs="Times New Roman"/>
          <w:color w:val="000000" w:themeColor="text1"/>
        </w:rPr>
        <w:t xml:space="preserve"> рисков, возникающих при осуществлении закупок</w:t>
      </w:r>
    </w:p>
    <w:p w:rsidR="005D7734" w:rsidRPr="005D7734" w:rsidRDefault="005D773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1474"/>
        <w:gridCol w:w="1984"/>
        <w:gridCol w:w="1587"/>
        <w:gridCol w:w="1644"/>
      </w:tblGrid>
      <w:tr w:rsidR="005D7734" w:rsidRPr="005D7734">
        <w:tc>
          <w:tcPr>
            <w:tcW w:w="624"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N п/п</w:t>
            </w:r>
          </w:p>
        </w:tc>
        <w:tc>
          <w:tcPr>
            <w:tcW w:w="1757"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Наименование меры по минимизации коррупционных рисков</w:t>
            </w:r>
          </w:p>
        </w:tc>
        <w:tc>
          <w:tcPr>
            <w:tcW w:w="1474"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 xml:space="preserve">Краткое наименование </w:t>
            </w:r>
            <w:proofErr w:type="spellStart"/>
            <w:r w:rsidRPr="005D7734">
              <w:rPr>
                <w:rFonts w:ascii="Times New Roman" w:hAnsi="Times New Roman" w:cs="Times New Roman"/>
                <w:color w:val="000000" w:themeColor="text1"/>
              </w:rPr>
              <w:t>минимизируемого</w:t>
            </w:r>
            <w:proofErr w:type="spellEnd"/>
            <w:r w:rsidRPr="005D7734">
              <w:rPr>
                <w:rFonts w:ascii="Times New Roman" w:hAnsi="Times New Roman" w:cs="Times New Roman"/>
                <w:color w:val="000000" w:themeColor="text1"/>
              </w:rPr>
              <w:t xml:space="preserve"> коррупционного риска</w:t>
            </w:r>
          </w:p>
        </w:tc>
        <w:tc>
          <w:tcPr>
            <w:tcW w:w="1984"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Срок (периодичность) реализации</w:t>
            </w:r>
          </w:p>
        </w:tc>
        <w:tc>
          <w:tcPr>
            <w:tcW w:w="1587"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Ответственный за реализацию служащий (работник)</w:t>
            </w:r>
          </w:p>
        </w:tc>
        <w:tc>
          <w:tcPr>
            <w:tcW w:w="1644" w:type="dxa"/>
          </w:tcPr>
          <w:p w:rsidR="005D7734" w:rsidRPr="005D7734" w:rsidRDefault="005D7734">
            <w:pPr>
              <w:pStyle w:val="ConsPlusNormal"/>
              <w:jc w:val="center"/>
              <w:rPr>
                <w:rFonts w:ascii="Times New Roman" w:hAnsi="Times New Roman" w:cs="Times New Roman"/>
                <w:color w:val="000000" w:themeColor="text1"/>
              </w:rPr>
            </w:pPr>
            <w:r w:rsidRPr="005D7734">
              <w:rPr>
                <w:rFonts w:ascii="Times New Roman" w:hAnsi="Times New Roman" w:cs="Times New Roman"/>
                <w:color w:val="000000" w:themeColor="text1"/>
              </w:rPr>
              <w:t>Планируемый результат</w:t>
            </w:r>
          </w:p>
        </w:tc>
      </w:tr>
      <w:tr w:rsidR="005D7734" w:rsidRPr="005D7734">
        <w:tc>
          <w:tcPr>
            <w:tcW w:w="62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1.</w:t>
            </w:r>
          </w:p>
        </w:tc>
        <w:tc>
          <w:tcPr>
            <w:tcW w:w="1757" w:type="dxa"/>
          </w:tcPr>
          <w:p w:rsidR="005D7734" w:rsidRPr="005D7734" w:rsidRDefault="005D7734">
            <w:pPr>
              <w:pStyle w:val="ConsPlusNormal"/>
              <w:rPr>
                <w:rFonts w:ascii="Times New Roman" w:hAnsi="Times New Roman" w:cs="Times New Roman"/>
                <w:color w:val="000000" w:themeColor="text1"/>
              </w:rPr>
            </w:pPr>
          </w:p>
        </w:tc>
        <w:tc>
          <w:tcPr>
            <w:tcW w:w="1474" w:type="dxa"/>
          </w:tcPr>
          <w:p w:rsidR="005D7734" w:rsidRPr="005D7734" w:rsidRDefault="005D7734">
            <w:pPr>
              <w:pStyle w:val="ConsPlusNormal"/>
              <w:rPr>
                <w:rFonts w:ascii="Times New Roman" w:hAnsi="Times New Roman" w:cs="Times New Roman"/>
                <w:color w:val="000000" w:themeColor="text1"/>
              </w:rPr>
            </w:pPr>
          </w:p>
        </w:tc>
        <w:tc>
          <w:tcPr>
            <w:tcW w:w="1984" w:type="dxa"/>
          </w:tcPr>
          <w:p w:rsidR="005D7734" w:rsidRPr="005D7734" w:rsidRDefault="005D7734">
            <w:pPr>
              <w:pStyle w:val="ConsPlusNormal"/>
              <w:rPr>
                <w:rFonts w:ascii="Times New Roman" w:hAnsi="Times New Roman" w:cs="Times New Roman"/>
                <w:color w:val="000000" w:themeColor="text1"/>
              </w:rPr>
            </w:pPr>
          </w:p>
        </w:tc>
        <w:tc>
          <w:tcPr>
            <w:tcW w:w="1587" w:type="dxa"/>
          </w:tcPr>
          <w:p w:rsidR="005D7734" w:rsidRPr="005D7734" w:rsidRDefault="005D7734">
            <w:pPr>
              <w:pStyle w:val="ConsPlusNormal"/>
              <w:rPr>
                <w:rFonts w:ascii="Times New Roman" w:hAnsi="Times New Roman" w:cs="Times New Roman"/>
                <w:color w:val="000000" w:themeColor="text1"/>
              </w:rPr>
            </w:pPr>
          </w:p>
        </w:tc>
        <w:tc>
          <w:tcPr>
            <w:tcW w:w="1644" w:type="dxa"/>
          </w:tcPr>
          <w:p w:rsidR="005D7734" w:rsidRPr="005D7734" w:rsidRDefault="005D7734">
            <w:pPr>
              <w:pStyle w:val="ConsPlusNormal"/>
              <w:rPr>
                <w:rFonts w:ascii="Times New Roman" w:hAnsi="Times New Roman" w:cs="Times New Roman"/>
                <w:color w:val="000000" w:themeColor="text1"/>
              </w:rPr>
            </w:pPr>
          </w:p>
        </w:tc>
      </w:tr>
      <w:tr w:rsidR="005D7734" w:rsidRPr="005D7734">
        <w:tc>
          <w:tcPr>
            <w:tcW w:w="62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2.</w:t>
            </w:r>
          </w:p>
        </w:tc>
        <w:tc>
          <w:tcPr>
            <w:tcW w:w="1757" w:type="dxa"/>
          </w:tcPr>
          <w:p w:rsidR="005D7734" w:rsidRPr="005D7734" w:rsidRDefault="005D7734">
            <w:pPr>
              <w:pStyle w:val="ConsPlusNormal"/>
              <w:rPr>
                <w:rFonts w:ascii="Times New Roman" w:hAnsi="Times New Roman" w:cs="Times New Roman"/>
                <w:color w:val="000000" w:themeColor="text1"/>
              </w:rPr>
            </w:pPr>
          </w:p>
        </w:tc>
        <w:tc>
          <w:tcPr>
            <w:tcW w:w="1474" w:type="dxa"/>
          </w:tcPr>
          <w:p w:rsidR="005D7734" w:rsidRPr="005D7734" w:rsidRDefault="005D7734">
            <w:pPr>
              <w:pStyle w:val="ConsPlusNormal"/>
              <w:rPr>
                <w:rFonts w:ascii="Times New Roman" w:hAnsi="Times New Roman" w:cs="Times New Roman"/>
                <w:color w:val="000000" w:themeColor="text1"/>
              </w:rPr>
            </w:pPr>
          </w:p>
        </w:tc>
        <w:tc>
          <w:tcPr>
            <w:tcW w:w="1984" w:type="dxa"/>
          </w:tcPr>
          <w:p w:rsidR="005D7734" w:rsidRPr="005D7734" w:rsidRDefault="005D7734">
            <w:pPr>
              <w:pStyle w:val="ConsPlusNormal"/>
              <w:rPr>
                <w:rFonts w:ascii="Times New Roman" w:hAnsi="Times New Roman" w:cs="Times New Roman"/>
                <w:color w:val="000000" w:themeColor="text1"/>
              </w:rPr>
            </w:pPr>
          </w:p>
        </w:tc>
        <w:tc>
          <w:tcPr>
            <w:tcW w:w="1587" w:type="dxa"/>
          </w:tcPr>
          <w:p w:rsidR="005D7734" w:rsidRPr="005D7734" w:rsidRDefault="005D7734">
            <w:pPr>
              <w:pStyle w:val="ConsPlusNormal"/>
              <w:rPr>
                <w:rFonts w:ascii="Times New Roman" w:hAnsi="Times New Roman" w:cs="Times New Roman"/>
                <w:color w:val="000000" w:themeColor="text1"/>
              </w:rPr>
            </w:pPr>
          </w:p>
        </w:tc>
        <w:tc>
          <w:tcPr>
            <w:tcW w:w="1644" w:type="dxa"/>
          </w:tcPr>
          <w:p w:rsidR="005D7734" w:rsidRPr="005D7734" w:rsidRDefault="005D7734">
            <w:pPr>
              <w:pStyle w:val="ConsPlusNormal"/>
              <w:rPr>
                <w:rFonts w:ascii="Times New Roman" w:hAnsi="Times New Roman" w:cs="Times New Roman"/>
                <w:color w:val="000000" w:themeColor="text1"/>
              </w:rPr>
            </w:pPr>
          </w:p>
        </w:tc>
      </w:tr>
      <w:tr w:rsidR="005D7734" w:rsidRPr="005D7734">
        <w:tc>
          <w:tcPr>
            <w:tcW w:w="624" w:type="dxa"/>
          </w:tcPr>
          <w:p w:rsidR="005D7734" w:rsidRPr="005D7734" w:rsidRDefault="005D7734">
            <w:pPr>
              <w:pStyle w:val="ConsPlusNormal"/>
              <w:rPr>
                <w:rFonts w:ascii="Times New Roman" w:hAnsi="Times New Roman" w:cs="Times New Roman"/>
                <w:color w:val="000000" w:themeColor="text1"/>
              </w:rPr>
            </w:pPr>
            <w:r w:rsidRPr="005D7734">
              <w:rPr>
                <w:rFonts w:ascii="Times New Roman" w:hAnsi="Times New Roman" w:cs="Times New Roman"/>
                <w:color w:val="000000" w:themeColor="text1"/>
              </w:rPr>
              <w:t>3.</w:t>
            </w:r>
          </w:p>
        </w:tc>
        <w:tc>
          <w:tcPr>
            <w:tcW w:w="1757" w:type="dxa"/>
          </w:tcPr>
          <w:p w:rsidR="005D7734" w:rsidRPr="005D7734" w:rsidRDefault="005D7734">
            <w:pPr>
              <w:pStyle w:val="ConsPlusNormal"/>
              <w:rPr>
                <w:rFonts w:ascii="Times New Roman" w:hAnsi="Times New Roman" w:cs="Times New Roman"/>
                <w:color w:val="000000" w:themeColor="text1"/>
              </w:rPr>
            </w:pPr>
          </w:p>
        </w:tc>
        <w:tc>
          <w:tcPr>
            <w:tcW w:w="1474" w:type="dxa"/>
          </w:tcPr>
          <w:p w:rsidR="005D7734" w:rsidRPr="005D7734" w:rsidRDefault="005D7734">
            <w:pPr>
              <w:pStyle w:val="ConsPlusNormal"/>
              <w:rPr>
                <w:rFonts w:ascii="Times New Roman" w:hAnsi="Times New Roman" w:cs="Times New Roman"/>
                <w:color w:val="000000" w:themeColor="text1"/>
              </w:rPr>
            </w:pPr>
          </w:p>
        </w:tc>
        <w:tc>
          <w:tcPr>
            <w:tcW w:w="1984" w:type="dxa"/>
          </w:tcPr>
          <w:p w:rsidR="005D7734" w:rsidRPr="005D7734" w:rsidRDefault="005D7734">
            <w:pPr>
              <w:pStyle w:val="ConsPlusNormal"/>
              <w:rPr>
                <w:rFonts w:ascii="Times New Roman" w:hAnsi="Times New Roman" w:cs="Times New Roman"/>
                <w:color w:val="000000" w:themeColor="text1"/>
              </w:rPr>
            </w:pPr>
          </w:p>
        </w:tc>
        <w:tc>
          <w:tcPr>
            <w:tcW w:w="1587" w:type="dxa"/>
          </w:tcPr>
          <w:p w:rsidR="005D7734" w:rsidRPr="005D7734" w:rsidRDefault="005D7734">
            <w:pPr>
              <w:pStyle w:val="ConsPlusNormal"/>
              <w:rPr>
                <w:rFonts w:ascii="Times New Roman" w:hAnsi="Times New Roman" w:cs="Times New Roman"/>
                <w:color w:val="000000" w:themeColor="text1"/>
              </w:rPr>
            </w:pPr>
          </w:p>
        </w:tc>
        <w:tc>
          <w:tcPr>
            <w:tcW w:w="1644" w:type="dxa"/>
          </w:tcPr>
          <w:p w:rsidR="005D7734" w:rsidRPr="005D7734" w:rsidRDefault="005D7734">
            <w:pPr>
              <w:pStyle w:val="ConsPlusNormal"/>
              <w:rPr>
                <w:rFonts w:ascii="Times New Roman" w:hAnsi="Times New Roman" w:cs="Times New Roman"/>
                <w:color w:val="000000" w:themeColor="text1"/>
              </w:rPr>
            </w:pPr>
          </w:p>
        </w:tc>
      </w:tr>
    </w:tbl>
    <w:p w:rsidR="006F6807" w:rsidRPr="005D7734" w:rsidRDefault="006F6807">
      <w:pPr>
        <w:rPr>
          <w:rFonts w:ascii="Times New Roman" w:hAnsi="Times New Roman" w:cs="Times New Roman"/>
          <w:color w:val="000000" w:themeColor="text1"/>
        </w:rPr>
      </w:pPr>
    </w:p>
    <w:sectPr w:rsidR="006F6807" w:rsidRPr="005D7734" w:rsidSect="005D773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734"/>
    <w:rsid w:val="005D7734"/>
    <w:rsid w:val="006F6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CBFFD-08E3-48D3-BFC6-D430A466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7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77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773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14A4334EC5D2A2BF9A060FC5A9DF01F299E589DE981B875852D8002D2D68174DEA13DD06439892D0D4C8C84F5B529C90CA20EF10T5L" TargetMode="External"/><Relationship Id="rId13" Type="http://schemas.openxmlformats.org/officeDocument/2006/relationships/hyperlink" Target="consultantplus://offline/ref=4914A4334EC5D2A2BF9A060FC5A9DF01F59DE484DD9C1B875852D8002D2D68175FEA4BD9074AD2C3909FC7CA4F14T7L" TargetMode="External"/><Relationship Id="rId18" Type="http://schemas.openxmlformats.org/officeDocument/2006/relationships/hyperlink" Target="consultantplus://offline/ref=4914A4334EC5D2A2BF9A060FC5A9DF01F299E285DA9E1B875852D8002D2D68174DEA13D50549CFC39D8A919B09105F9A8CD620E9192F986B13T9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3.png"/><Relationship Id="rId7" Type="http://schemas.openxmlformats.org/officeDocument/2006/relationships/hyperlink" Target="consultantplus://offline/ref=4914A4334EC5D2A2BF9A060FC5A9DF01F299E284D3991B875852D8002D2D68175FEA4BD9074AD2C3909FC7CA4F14T7L" TargetMode="External"/><Relationship Id="rId12" Type="http://schemas.openxmlformats.org/officeDocument/2006/relationships/hyperlink" Target="consultantplus://offline/ref=4914A4334EC5D2A2BF9A060FC5A9DF01F59DE484DD9C1B875852D8002D2D68175FEA4BD9074AD2C3909FC7CA4F14T7L" TargetMode="External"/><Relationship Id="rId17" Type="http://schemas.openxmlformats.org/officeDocument/2006/relationships/hyperlink" Target="consultantplus://offline/ref=4914A4334EC5D2A2BF9A060FC5A9DF01F299E285DA9E1B875852D8002D2D68174DEA13D50449CAC8C0D0819F404750868ECC3EEF072F19TAL" TargetMode="External"/><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consultantplus://offline/ref=4914A4334EC5D2A2BF9A060FC5A9DF01F299E285DA9E1B875852D8002D2D68174DEA13D6024FC797C5C590C74F474C988AD622ED0512TFL" TargetMode="Externa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consultantplus://offline/ref=4914A4334EC5D2A2BF9A060FC5A9DF01F299E285DA9E1B875852D8002D2D68174DEA13D50548CCC1938A919B09105F9A8CD620E9192F986B13T9L" TargetMode="External"/><Relationship Id="rId11" Type="http://schemas.openxmlformats.org/officeDocument/2006/relationships/hyperlink" Target="consultantplus://offline/ref=4914A4334EC5D2A2BF9A060FC5A9DF01F299E285DA9E1B875852D8002D2D68175FEA4BD9074AD2C3909FC7CA4F14T7L" TargetMode="External"/><Relationship Id="rId24" Type="http://schemas.openxmlformats.org/officeDocument/2006/relationships/image" Target="media/image6.png"/><Relationship Id="rId5" Type="http://schemas.openxmlformats.org/officeDocument/2006/relationships/hyperlink" Target="consultantplus://offline/ref=4914A4334EC5D2A2BF9A060FC5A9DF01F299E285DA9E1B875852D8002D2D68174DEA13D50548CCCA968A919B09105F9A8CD620E9192F986B13T9L" TargetMode="External"/><Relationship Id="rId15" Type="http://schemas.openxmlformats.org/officeDocument/2006/relationships/hyperlink" Target="consultantplus://offline/ref=4914A4334EC5D2A2BF9A060FC5A9DF01F299E285DA9E1B875852D8002D2D68174DEA13D5054FC9C8C0D0819F404750868ECC3EEF072F19TAL" TargetMode="External"/><Relationship Id="rId23" Type="http://schemas.openxmlformats.org/officeDocument/2006/relationships/image" Target="media/image5.png"/><Relationship Id="rId10" Type="http://schemas.openxmlformats.org/officeDocument/2006/relationships/hyperlink" Target="consultantplus://offline/ref=4914A4334EC5D2A2BF9A060FC5A9DF01F490E688D2941B875852D8002D2D68174DEA13D50548CCC2958A919B09105F9A8CD620E9192F986B13T9L" TargetMode="External"/><Relationship Id="rId19" Type="http://schemas.openxmlformats.org/officeDocument/2006/relationships/image" Target="media/image1.jpeg"/><Relationship Id="rId4" Type="http://schemas.openxmlformats.org/officeDocument/2006/relationships/hyperlink" Target="consultantplus://offline/ref=4914A4334EC5D2A2BF9A060FC5A9DF01F598E78FDF9E1B875852D8002D2D68174DEA13D50548CDC39C8A919B09105F9A8CD620E9192F986B13T9L" TargetMode="External"/><Relationship Id="rId9" Type="http://schemas.openxmlformats.org/officeDocument/2006/relationships/hyperlink" Target="consultantplus://offline/ref=4914A4334EC5D2A2BF9A060FC5A9DF01F49FEE8EDD951B875852D8002D2D68174DEA13D50548CDC2928A919B09105F9A8CD620E9192F986B13T9L" TargetMode="External"/><Relationship Id="rId14" Type="http://schemas.openxmlformats.org/officeDocument/2006/relationships/hyperlink" Target="consultantplus://offline/ref=4914A4334EC5D2A2BF9A060FC5A9DF01F299E285DA9E1B875852D8002D2D68174DEA13D50548CDC1978A919B09105F9A8CD620E9192F986B13T9L"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7410</Words>
  <Characters>42241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Близнюк Наталья Петровна</dc:creator>
  <cp:keywords/>
  <dc:description/>
  <cp:lastModifiedBy>Близнюк Наталья Петровна</cp:lastModifiedBy>
  <cp:revision>1</cp:revision>
  <dcterms:created xsi:type="dcterms:W3CDTF">2022-04-22T11:19:00Z</dcterms:created>
  <dcterms:modified xsi:type="dcterms:W3CDTF">2022-04-22T11:23:00Z</dcterms:modified>
</cp:coreProperties>
</file>